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平顶山市建筑工程拟推荐申报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河南省建筑工程安全文明标准化示范工地汇总表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656" w:tblpY="218"/>
        <w:tblOverlap w:val="never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013"/>
        <w:gridCol w:w="2385"/>
        <w:gridCol w:w="1727"/>
        <w:gridCol w:w="313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序号</w:t>
            </w: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项目名称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宋体" w:eastAsia="宋体"/>
                <w:sz w:val="24"/>
                <w:lang w:eastAsia="zh-CN"/>
              </w:rPr>
            </w:pPr>
            <w:r>
              <w:rPr>
                <w:rFonts w:hint="eastAsia" w:ascii="Times New Roman" w:hAnsi="宋体"/>
                <w:sz w:val="24"/>
                <w:lang w:eastAsia="zh-CN"/>
              </w:rPr>
              <w:t>结构规模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宋体" w:eastAsia="宋体"/>
                <w:sz w:val="24"/>
                <w:lang w:eastAsia="zh-CN"/>
              </w:rPr>
            </w:pPr>
            <w:r>
              <w:rPr>
                <w:rFonts w:hint="eastAsia" w:ascii="Times New Roman" w:hAnsi="宋体"/>
                <w:sz w:val="24"/>
                <w:lang w:eastAsia="zh-CN"/>
              </w:rPr>
              <w:t>形象进度</w:t>
            </w: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宋体" w:eastAsia="宋体"/>
                <w:sz w:val="24"/>
                <w:lang w:eastAsia="zh-CN"/>
              </w:rPr>
            </w:pPr>
            <w:r>
              <w:rPr>
                <w:rFonts w:hint="eastAsia" w:ascii="Times New Roman" w:hAnsi="宋体"/>
                <w:sz w:val="24"/>
                <w:lang w:eastAsia="zh-CN"/>
              </w:rPr>
              <w:t>施工单位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平顶山市城市生活垃圾焚烧发电项目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框架／30321㎡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待竣工验收</w:t>
            </w: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山东淄建集团有限公司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平顶山市卫东区魏寨村区域棚户区改造项目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框剪／240990㎡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二次结构</w:t>
            </w: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中国建筑第八工程局有限公司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平高集团电器开关公司家属院棚户区改造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1#、2#楼、地下车库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剪力墙／50263㎡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装饰装修</w:t>
            </w:r>
          </w:p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（收尾工作）</w:t>
            </w: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河南五建建设集团有限公司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平顶山市新城区东滍保障性住房小区投资建设一体化项目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1--7#楼，综合楼、商业用房、地下人防车库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框剪／182204㎡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二次结构</w:t>
            </w: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中国建筑第七工程局有限公司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平顶山市廉政警示教育基地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框架／29913㎡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已交付使用</w:t>
            </w: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平煤神马建工集团有限公司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1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5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3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tabs>
                <w:tab w:val="left" w:pos="105"/>
              </w:tabs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2"/>
      </w:pPr>
    </w:p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12C2"/>
    <w:rsid w:val="0FA373BD"/>
    <w:rsid w:val="1B5E6371"/>
    <w:rsid w:val="39393563"/>
    <w:rsid w:val="39B1281D"/>
    <w:rsid w:val="3C9A5547"/>
    <w:rsid w:val="44E729F4"/>
    <w:rsid w:val="48767E1E"/>
    <w:rsid w:val="5209454A"/>
    <w:rsid w:val="579B12C2"/>
    <w:rsid w:val="580376AD"/>
    <w:rsid w:val="5D3F41FE"/>
    <w:rsid w:val="61AF3FCD"/>
    <w:rsid w:val="65DA21F3"/>
    <w:rsid w:val="67DC2E2E"/>
    <w:rsid w:val="76143CE9"/>
    <w:rsid w:val="76A72E8B"/>
    <w:rsid w:val="78C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2020-03-31T01:51:00Z</dcterms:created>
  <dc:creator>Administrator</dc:creator>
  <cp:lastModifiedBy>Administrator</cp:lastModifiedBy>
  <cp:lastPrinted>2020-08-05T00:21:50Z</cp:lastPrinted>
  <dcterms:modified xsi:type="dcterms:W3CDTF">2020-08-05T00:26:59Z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