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评标委员会对所有投标人投标文件的总分排序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:</w:t>
      </w:r>
    </w:p>
    <w:p>
      <w:pP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drawing>
          <wp:inline distT="0" distB="0" distL="114300" distR="114300">
            <wp:extent cx="5273040" cy="2969260"/>
            <wp:effectExtent l="0" t="0" r="0" b="2540"/>
            <wp:docPr id="1" name="图片 1" descr="评标汇总表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评标汇总表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YjZmNzYwODBhNmMxYzk1ZmNhNTI2YjNkMGQ2NWQifQ=="/>
  </w:docVars>
  <w:rsids>
    <w:rsidRoot w:val="00000000"/>
    <w:rsid w:val="2B7465B2"/>
    <w:rsid w:val="7A54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2022-08-21T07:49:00Z</dcterms:created>
  <dc:creator>Administrator</dc:creator>
  <cp:lastModifiedBy>河南中屹工程咨询有限公司:杨路路</cp:lastModifiedBy>
  <dcterms:modified xsi:type="dcterms:W3CDTF">2022-08-23T05:09:15Z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4F90D3E42BFD4B4381CEAEE5F4A69242</vt:lpwstr>
  </property>
</Properties>
</file>