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96"/>
          <w:szCs w:val="72"/>
        </w:rPr>
      </w:pPr>
      <w:r>
        <w:rPr>
          <w:rFonts w:hint="eastAsia" w:ascii="宋体" w:hAnsi="宋体" w:cs="宋体"/>
          <w:b/>
          <w:bCs/>
          <w:sz w:val="96"/>
          <w:szCs w:val="72"/>
        </w:rPr>
        <w:drawing>
          <wp:inline distT="0" distB="0" distL="114300" distR="114300">
            <wp:extent cx="6115050" cy="8648065"/>
            <wp:effectExtent l="0" t="0" r="0" b="635"/>
            <wp:docPr id="2" name="图片 2" descr="招标文件封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招标文件封皮"/>
                    <pic:cNvPicPr>
                      <a:picLocks noChangeAspect="1"/>
                    </pic:cNvPicPr>
                  </pic:nvPicPr>
                  <pic:blipFill>
                    <a:blip r:embed="rId6"/>
                    <a:stretch>
                      <a:fillRect/>
                    </a:stretch>
                  </pic:blipFill>
                  <pic:spPr>
                    <a:xfrm>
                      <a:off x="0" y="0"/>
                      <a:ext cx="6115050" cy="8648065"/>
                    </a:xfrm>
                    <a:prstGeom prst="rect">
                      <a:avLst/>
                    </a:prstGeom>
                  </pic:spPr>
                </pic:pic>
              </a:graphicData>
            </a:graphic>
          </wp:inline>
        </w:drawing>
      </w:r>
      <w:r>
        <w:rPr>
          <w:rFonts w:hint="eastAsia" w:ascii="宋体" w:hAnsi="宋体" w:cs="宋体"/>
          <w:b/>
          <w:bCs/>
          <w:sz w:val="96"/>
          <w:szCs w:val="72"/>
        </w:rPr>
        <w:t>招  标  文  件</w:t>
      </w:r>
    </w:p>
    <w:p>
      <w:pPr>
        <w:jc w:val="left"/>
        <w:rPr>
          <w:rFonts w:ascii="宋体" w:hAnsi="宋体" w:cs="宋体"/>
          <w:b/>
          <w:bCs/>
          <w:sz w:val="32"/>
          <w:szCs w:val="32"/>
        </w:rPr>
      </w:pPr>
    </w:p>
    <w:p>
      <w:pPr>
        <w:pStyle w:val="17"/>
        <w:ind w:left="1063" w:hanging="643"/>
        <w:rPr>
          <w:rFonts w:ascii="宋体" w:hAnsi="宋体" w:cs="宋体"/>
          <w:b/>
          <w:bCs/>
          <w:sz w:val="32"/>
          <w:szCs w:val="32"/>
        </w:rPr>
      </w:pPr>
    </w:p>
    <w:p>
      <w:pPr>
        <w:ind w:left="1606" w:hanging="1606" w:hangingChars="500"/>
        <w:jc w:val="left"/>
        <w:rPr>
          <w:rFonts w:hint="eastAsia" w:ascii="宋体" w:hAnsi="宋体" w:eastAsia="宋体" w:cs="宋体"/>
          <w:b/>
          <w:bCs/>
          <w:sz w:val="32"/>
          <w:szCs w:val="32"/>
          <w:lang w:eastAsia="zh-CN"/>
        </w:rPr>
      </w:pPr>
      <w:r>
        <w:rPr>
          <w:rFonts w:hint="eastAsia" w:ascii="宋体" w:hAnsi="宋体" w:cs="宋体"/>
          <w:b/>
          <w:bCs/>
          <w:sz w:val="32"/>
          <w:szCs w:val="32"/>
        </w:rPr>
        <w:t>项目名称：</w:t>
      </w:r>
      <w:r>
        <w:rPr>
          <w:rFonts w:hint="eastAsia" w:ascii="宋体" w:hAnsi="宋体" w:cs="宋体"/>
          <w:b/>
          <w:bCs/>
          <w:sz w:val="32"/>
          <w:szCs w:val="32"/>
          <w:lang w:eastAsia="zh-CN"/>
        </w:rPr>
        <w:t>平顶山市中医医院中医药传承创新大楼（三号病房楼）建设项目全过程造价咨询服务</w:t>
      </w:r>
    </w:p>
    <w:p>
      <w:pPr>
        <w:rPr>
          <w:rFonts w:ascii="宋体" w:hAnsi="宋体" w:cs="宋体"/>
          <w:b/>
          <w:bCs/>
          <w:sz w:val="32"/>
          <w:szCs w:val="32"/>
        </w:rPr>
      </w:pPr>
      <w:r>
        <w:rPr>
          <w:rFonts w:hint="eastAsia" w:ascii="宋体" w:hAnsi="宋体" w:cs="宋体"/>
          <w:b/>
          <w:bCs/>
          <w:sz w:val="32"/>
          <w:szCs w:val="32"/>
        </w:rPr>
        <w:t xml:space="preserve">采购编号：2022-11-67 </w:t>
      </w:r>
    </w:p>
    <w:p>
      <w:pPr>
        <w:spacing w:before="104"/>
        <w:rPr>
          <w:rFonts w:ascii="宋体" w:hAnsi="宋体" w:cs="宋体"/>
          <w:sz w:val="28"/>
          <w:szCs w:val="28"/>
        </w:rPr>
      </w:pPr>
    </w:p>
    <w:p>
      <w:pPr>
        <w:spacing w:before="104" w:line="360" w:lineRule="auto"/>
        <w:ind w:left="38"/>
        <w:jc w:val="center"/>
        <w:rPr>
          <w:rFonts w:ascii="仿宋_GB2312" w:hAnsi="仿宋_GB2312"/>
          <w:sz w:val="28"/>
          <w:szCs w:val="28"/>
        </w:rPr>
      </w:pPr>
    </w:p>
    <w:p>
      <w:pPr>
        <w:pStyle w:val="17"/>
        <w:ind w:left="840" w:hanging="420"/>
      </w:pPr>
    </w:p>
    <w:p>
      <w:pPr>
        <w:spacing w:before="104" w:line="360" w:lineRule="auto"/>
        <w:ind w:left="38"/>
        <w:jc w:val="center"/>
        <w:rPr>
          <w:rFonts w:ascii="仿宋_GB2312" w:hAnsi="仿宋_GB2312"/>
          <w:sz w:val="28"/>
          <w:szCs w:val="28"/>
        </w:rPr>
      </w:pPr>
      <w:r>
        <w:drawing>
          <wp:inline distT="0" distB="0" distL="114300" distR="114300">
            <wp:extent cx="2152015" cy="1946910"/>
            <wp:effectExtent l="0" t="0" r="635" b="15240"/>
            <wp:docPr id="1" name="图片 1" descr="C:\Users\ADMINI~1\AppData\Local\Temp\ksohtml4259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42592\wps5.jpg"/>
                    <pic:cNvPicPr>
                      <a:picLocks noChangeAspect="1"/>
                    </pic:cNvPicPr>
                  </pic:nvPicPr>
                  <pic:blipFill>
                    <a:blip r:embed="rId7"/>
                    <a:stretch>
                      <a:fillRect/>
                    </a:stretch>
                  </pic:blipFill>
                  <pic:spPr>
                    <a:xfrm>
                      <a:off x="0" y="0"/>
                      <a:ext cx="2152015" cy="1946910"/>
                    </a:xfrm>
                    <a:prstGeom prst="rect">
                      <a:avLst/>
                    </a:prstGeom>
                    <a:noFill/>
                    <a:ln>
                      <a:noFill/>
                    </a:ln>
                  </pic:spPr>
                </pic:pic>
              </a:graphicData>
            </a:graphic>
          </wp:inline>
        </w:drawing>
      </w:r>
    </w:p>
    <w:p>
      <w:pPr>
        <w:pStyle w:val="17"/>
        <w:spacing w:line="360" w:lineRule="auto"/>
        <w:ind w:left="1063" w:hanging="643"/>
        <w:jc w:val="center"/>
      </w:pPr>
      <w:r>
        <w:rPr>
          <w:rFonts w:ascii="方正美黑简体" w:hAnsi="方正美黑简体"/>
          <w:b/>
          <w:bCs/>
          <w:sz w:val="32"/>
          <w:szCs w:val="32"/>
        </w:rPr>
        <w:t>全国招标代理机构诚信创优5A级单位</w:t>
      </w:r>
    </w:p>
    <w:p>
      <w:pPr>
        <w:pStyle w:val="17"/>
        <w:ind w:left="840" w:hanging="420"/>
      </w:pPr>
    </w:p>
    <w:p>
      <w:pPr>
        <w:pStyle w:val="17"/>
        <w:ind w:left="840" w:hanging="420"/>
      </w:pPr>
    </w:p>
    <w:p>
      <w:pPr>
        <w:pStyle w:val="17"/>
        <w:ind w:left="0" w:leftChars="0" w:firstLine="0" w:firstLineChars="0"/>
      </w:pPr>
    </w:p>
    <w:p>
      <w:pPr>
        <w:pStyle w:val="17"/>
        <w:ind w:left="0" w:leftChars="0" w:firstLine="0" w:firstLineChars="0"/>
      </w:pPr>
    </w:p>
    <w:p>
      <w:pPr>
        <w:pStyle w:val="17"/>
        <w:ind w:left="0" w:leftChars="0" w:firstLine="0" w:firstLineChars="0"/>
      </w:pPr>
    </w:p>
    <w:p>
      <w:pPr>
        <w:spacing w:line="360" w:lineRule="auto"/>
        <w:ind w:left="1256" w:leftChars="598" w:right="-315" w:rightChars="-150" w:firstLine="3"/>
        <w:rPr>
          <w:rFonts w:ascii="宋体" w:hAnsi="宋体" w:cs="宋体"/>
          <w:b/>
          <w:sz w:val="30"/>
          <w:szCs w:val="30"/>
        </w:rPr>
      </w:pPr>
      <w:r>
        <w:rPr>
          <w:rFonts w:hint="eastAsia" w:ascii="宋体" w:hAnsi="宋体" w:cs="宋体"/>
          <w:b/>
          <w:sz w:val="30"/>
          <w:szCs w:val="30"/>
        </w:rPr>
        <w:t>采购人: 平顶山市中医医院</w:t>
      </w:r>
    </w:p>
    <w:p>
      <w:pPr>
        <w:spacing w:line="360" w:lineRule="auto"/>
        <w:ind w:left="1256" w:leftChars="598" w:right="-315" w:rightChars="-150" w:firstLine="3"/>
        <w:rPr>
          <w:rFonts w:ascii="宋体" w:hAnsi="宋体" w:cs="宋体"/>
          <w:b/>
          <w:sz w:val="30"/>
          <w:szCs w:val="30"/>
        </w:rPr>
      </w:pPr>
      <w:r>
        <w:rPr>
          <w:rFonts w:hint="eastAsia" w:ascii="宋体" w:hAnsi="宋体" w:cs="宋体"/>
          <w:b/>
          <w:sz w:val="32"/>
          <w:szCs w:val="32"/>
        </w:rPr>
        <w:t>采购代理机构</w:t>
      </w:r>
      <w:r>
        <w:rPr>
          <w:rFonts w:hint="eastAsia" w:ascii="宋体" w:hAnsi="宋体" w:cs="宋体"/>
          <w:b/>
          <w:sz w:val="30"/>
          <w:szCs w:val="30"/>
        </w:rPr>
        <w:t xml:space="preserve">：方大国际工程咨询股份有限公司 </w:t>
      </w:r>
    </w:p>
    <w:p>
      <w:pPr>
        <w:spacing w:line="360" w:lineRule="auto"/>
        <w:ind w:firstLine="472" w:firstLineChars="147"/>
        <w:jc w:val="center"/>
        <w:rPr>
          <w:rFonts w:ascii="宋体" w:hAnsi="宋体" w:cs="宋体"/>
          <w:b/>
          <w:sz w:val="32"/>
          <w:szCs w:val="32"/>
        </w:rPr>
      </w:pPr>
    </w:p>
    <w:p>
      <w:pPr>
        <w:spacing w:line="360" w:lineRule="auto"/>
        <w:ind w:firstLine="472" w:firstLineChars="147"/>
        <w:jc w:val="center"/>
        <w:rPr>
          <w:rFonts w:ascii="宋体" w:hAnsi="宋体" w:cs="宋体"/>
          <w:b/>
          <w:sz w:val="32"/>
          <w:szCs w:val="32"/>
        </w:rPr>
      </w:pPr>
      <w:r>
        <w:rPr>
          <w:rFonts w:hint="eastAsia" w:ascii="宋体" w:hAnsi="宋体" w:cs="宋体"/>
          <w:b/>
          <w:sz w:val="32"/>
          <w:szCs w:val="32"/>
        </w:rPr>
        <w:t>2022年1</w:t>
      </w:r>
      <w:r>
        <w:rPr>
          <w:rFonts w:hint="eastAsia" w:ascii="宋体" w:hAnsi="宋体" w:cs="宋体"/>
          <w:b/>
          <w:sz w:val="32"/>
          <w:szCs w:val="32"/>
          <w:lang w:val="en-US" w:eastAsia="zh-CN"/>
        </w:rPr>
        <w:t>1</w:t>
      </w:r>
      <w:r>
        <w:rPr>
          <w:rFonts w:hint="eastAsia" w:ascii="宋体" w:hAnsi="宋体" w:cs="宋体"/>
          <w:b/>
          <w:sz w:val="32"/>
          <w:szCs w:val="32"/>
        </w:rPr>
        <w:t>月</w:t>
      </w:r>
    </w:p>
    <w:p>
      <w:pPr>
        <w:spacing w:line="360" w:lineRule="auto"/>
        <w:ind w:firstLine="562" w:firstLineChars="200"/>
        <w:jc w:val="center"/>
        <w:rPr>
          <w:rFonts w:ascii="宋体" w:hAnsi="宋体"/>
          <w:b/>
          <w:sz w:val="28"/>
          <w:szCs w:val="28"/>
        </w:rPr>
        <w:sectPr>
          <w:pgSz w:w="11906" w:h="16838"/>
          <w:pgMar w:top="1418" w:right="1134" w:bottom="1418" w:left="1134" w:header="851" w:footer="992" w:gutter="0"/>
          <w:pgNumType w:start="1"/>
          <w:cols w:space="720" w:num="1"/>
          <w:docGrid w:type="lines" w:linePitch="312" w:charSpace="0"/>
        </w:sectPr>
      </w:pPr>
    </w:p>
    <w:p>
      <w:pPr>
        <w:pStyle w:val="24"/>
        <w:tabs>
          <w:tab w:val="right" w:leader="dot" w:pos="9638"/>
        </w:tabs>
        <w:jc w:val="center"/>
        <w:rPr>
          <w:b/>
          <w:bCs/>
          <w:sz w:val="32"/>
          <w:szCs w:val="28"/>
        </w:rPr>
      </w:pPr>
      <w:bookmarkStart w:id="0" w:name="_Hlk494112149"/>
      <w:r>
        <w:rPr>
          <w:rFonts w:hint="eastAsia"/>
          <w:b/>
          <w:bCs/>
          <w:sz w:val="32"/>
          <w:szCs w:val="28"/>
        </w:rPr>
        <w:t>目  录</w:t>
      </w:r>
    </w:p>
    <w:p>
      <w:pPr>
        <w:pStyle w:val="24"/>
        <w:tabs>
          <w:tab w:val="right" w:leader="dot" w:pos="9638"/>
        </w:tabs>
        <w:spacing w:line="600" w:lineRule="auto"/>
      </w:pPr>
      <w:r>
        <w:fldChar w:fldCharType="begin"/>
      </w:r>
      <w:r>
        <w:instrText xml:space="preserve">TOC \o "1-9" \h \u </w:instrText>
      </w:r>
      <w:r>
        <w:fldChar w:fldCharType="separate"/>
      </w:r>
      <w:r>
        <w:fldChar w:fldCharType="begin"/>
      </w:r>
      <w:r>
        <w:instrText xml:space="preserve"> HYPERLINK \l "_Toc5601" </w:instrText>
      </w:r>
      <w:r>
        <w:fldChar w:fldCharType="separate"/>
      </w:r>
      <w:r>
        <w:rPr>
          <w:rFonts w:hint="eastAsia" w:ascii="宋体" w:hAnsi="宋体"/>
          <w:bCs/>
          <w:szCs w:val="36"/>
        </w:rPr>
        <w:t>第一章 招标公告</w:t>
      </w:r>
      <w:r>
        <w:tab/>
      </w:r>
      <w:r>
        <w:fldChar w:fldCharType="end"/>
      </w:r>
    </w:p>
    <w:p>
      <w:pPr>
        <w:pStyle w:val="24"/>
        <w:tabs>
          <w:tab w:val="right" w:leader="dot" w:pos="9638"/>
        </w:tabs>
        <w:spacing w:line="600" w:lineRule="auto"/>
      </w:pPr>
      <w:r>
        <w:fldChar w:fldCharType="begin"/>
      </w:r>
      <w:r>
        <w:instrText xml:space="preserve"> HYPERLINK \l "_Toc19019" </w:instrText>
      </w:r>
      <w:r>
        <w:fldChar w:fldCharType="separate"/>
      </w:r>
      <w:r>
        <w:rPr>
          <w:rFonts w:hint="eastAsia" w:ascii="宋体" w:hAnsi="宋体"/>
        </w:rPr>
        <w:t>第二章 投标人须知</w:t>
      </w:r>
      <w:r>
        <w:tab/>
      </w:r>
      <w:r>
        <w:fldChar w:fldCharType="end"/>
      </w:r>
    </w:p>
    <w:p>
      <w:pPr>
        <w:pStyle w:val="24"/>
        <w:tabs>
          <w:tab w:val="right" w:leader="dot" w:pos="9638"/>
        </w:tabs>
        <w:spacing w:line="600" w:lineRule="auto"/>
      </w:pPr>
      <w:r>
        <w:fldChar w:fldCharType="begin"/>
      </w:r>
      <w:r>
        <w:instrText xml:space="preserve"> HYPERLINK \l "_Toc30779" </w:instrText>
      </w:r>
      <w:r>
        <w:fldChar w:fldCharType="separate"/>
      </w:r>
      <w:r>
        <w:rPr>
          <w:rFonts w:hint="eastAsia" w:ascii="宋体" w:hAnsi="宋体"/>
        </w:rPr>
        <w:t>第三章 评标办法</w:t>
      </w:r>
      <w:r>
        <w:tab/>
      </w:r>
      <w:r>
        <w:fldChar w:fldCharType="end"/>
      </w:r>
    </w:p>
    <w:p>
      <w:pPr>
        <w:pStyle w:val="24"/>
        <w:tabs>
          <w:tab w:val="right" w:leader="dot" w:pos="9638"/>
        </w:tabs>
        <w:spacing w:line="600" w:lineRule="auto"/>
      </w:pPr>
      <w:r>
        <w:fldChar w:fldCharType="begin"/>
      </w:r>
      <w:r>
        <w:instrText xml:space="preserve"> HYPERLINK \l "_Toc5979" </w:instrText>
      </w:r>
      <w:r>
        <w:fldChar w:fldCharType="separate"/>
      </w:r>
      <w:r>
        <w:rPr>
          <w:rFonts w:hint="eastAsia" w:ascii="宋体" w:hAnsi="宋体"/>
          <w:szCs w:val="22"/>
        </w:rPr>
        <w:t>第五章 采购需求</w:t>
      </w:r>
      <w:r>
        <w:tab/>
      </w:r>
      <w:r>
        <w:fldChar w:fldCharType="end"/>
      </w:r>
    </w:p>
    <w:p>
      <w:pPr>
        <w:pStyle w:val="24"/>
        <w:tabs>
          <w:tab w:val="right" w:leader="dot" w:pos="9638"/>
        </w:tabs>
        <w:spacing w:line="600" w:lineRule="auto"/>
      </w:pPr>
      <w:r>
        <w:fldChar w:fldCharType="begin"/>
      </w:r>
      <w:r>
        <w:instrText xml:space="preserve"> HYPERLINK \l "_Toc104" </w:instrText>
      </w:r>
      <w:r>
        <w:fldChar w:fldCharType="separate"/>
      </w:r>
      <w:r>
        <w:rPr>
          <w:rFonts w:hint="eastAsia" w:ascii="宋体" w:hAnsi="宋体"/>
          <w:szCs w:val="36"/>
        </w:rPr>
        <w:t>第六章 投标文件格式</w:t>
      </w:r>
      <w:r>
        <w:tab/>
      </w:r>
      <w:r>
        <w:fldChar w:fldCharType="end"/>
      </w:r>
    </w:p>
    <w:p>
      <w:pPr>
        <w:pStyle w:val="24"/>
        <w:tabs>
          <w:tab w:val="right" w:leader="dot" w:pos="9638"/>
        </w:tabs>
        <w:spacing w:line="600" w:lineRule="auto"/>
      </w:pPr>
      <w:r>
        <w:fldChar w:fldCharType="begin"/>
      </w:r>
      <w:r>
        <w:instrText xml:space="preserve"> HYPERLINK \l "_Toc841" </w:instrText>
      </w:r>
      <w:r>
        <w:fldChar w:fldCharType="separate"/>
      </w:r>
      <w:r>
        <w:rPr>
          <w:rFonts w:hint="eastAsia"/>
        </w:rPr>
        <w:t>第七章 其它资料</w:t>
      </w:r>
      <w:r>
        <w:tab/>
      </w:r>
      <w:r>
        <w:fldChar w:fldCharType="end"/>
      </w:r>
    </w:p>
    <w:p>
      <w:pPr>
        <w:spacing w:line="600" w:lineRule="auto"/>
      </w:pPr>
      <w:r>
        <w:fldChar w:fldCharType="end"/>
      </w:r>
    </w:p>
    <w:p>
      <w:pPr>
        <w:pStyle w:val="3"/>
        <w:snapToGrid w:val="0"/>
        <w:spacing w:line="240" w:lineRule="auto"/>
        <w:jc w:val="center"/>
        <w:rPr>
          <w:rFonts w:ascii="宋体" w:hAnsi="宋体"/>
        </w:rPr>
      </w:pPr>
      <w:r>
        <w:rPr>
          <w:rFonts w:ascii="宋体" w:hAnsi="宋体"/>
        </w:rPr>
        <w:br w:type="page"/>
      </w:r>
      <w:bookmarkStart w:id="1" w:name="_Toc5601"/>
      <w:bookmarkStart w:id="2" w:name="_Toc13274"/>
      <w:bookmarkStart w:id="3" w:name="_Toc512597502"/>
      <w:r>
        <w:rPr>
          <w:rFonts w:hint="eastAsia" w:ascii="宋体" w:hAnsi="宋体"/>
          <w:bCs/>
          <w:sz w:val="36"/>
          <w:szCs w:val="36"/>
        </w:rPr>
        <w:t>第一章 招标公告</w:t>
      </w:r>
      <w:bookmarkEnd w:id="1"/>
      <w:bookmarkEnd w:id="2"/>
      <w:bookmarkEnd w:id="3"/>
    </w:p>
    <w:bookmarkEnd w:id="0"/>
    <w:p>
      <w:pPr>
        <w:spacing w:line="360" w:lineRule="auto"/>
        <w:jc w:val="center"/>
        <w:rPr>
          <w:b/>
          <w:bCs/>
          <w:sz w:val="28"/>
          <w:szCs w:val="28"/>
        </w:rPr>
      </w:pPr>
      <w:bookmarkStart w:id="4" w:name="_Toc512597503"/>
      <w:r>
        <w:rPr>
          <w:rFonts w:hint="eastAsia"/>
          <w:b/>
          <w:bCs/>
          <w:sz w:val="28"/>
          <w:szCs w:val="28"/>
        </w:rPr>
        <w:t>【平公资建2022396号】平顶山市中医医院关于“</w:t>
      </w:r>
      <w:r>
        <w:rPr>
          <w:rFonts w:hint="eastAsia"/>
          <w:b/>
          <w:bCs/>
          <w:sz w:val="28"/>
          <w:szCs w:val="28"/>
          <w:lang w:eastAsia="zh-CN"/>
        </w:rPr>
        <w:t>平顶山市中医医院中医药传承创新大楼（三号病房楼）建设项目全过程造价咨询服务</w:t>
      </w:r>
      <w:r>
        <w:rPr>
          <w:rFonts w:hint="eastAsia"/>
          <w:b/>
          <w:bCs/>
          <w:sz w:val="28"/>
          <w:szCs w:val="28"/>
        </w:rPr>
        <w:t>”的招标公告</w:t>
      </w:r>
    </w:p>
    <w:p>
      <w:pPr>
        <w:spacing w:line="360" w:lineRule="auto"/>
        <w:ind w:firstLine="422" w:firstLineChars="200"/>
        <w:jc w:val="left"/>
      </w:pPr>
      <w:r>
        <w:rPr>
          <w:rFonts w:hint="eastAsia"/>
          <w:b/>
          <w:bCs/>
        </w:rPr>
        <w:t>项目概况</w:t>
      </w:r>
    </w:p>
    <w:p>
      <w:pPr>
        <w:spacing w:line="360" w:lineRule="auto"/>
        <w:ind w:firstLine="420" w:firstLineChars="200"/>
        <w:rPr>
          <w:rFonts w:ascii="宋体" w:hAnsi="宋体" w:cs="宋体"/>
          <w:szCs w:val="22"/>
        </w:rPr>
      </w:pPr>
      <w:r>
        <w:rPr>
          <w:rFonts w:hint="eastAsia" w:hAnsi="宋体" w:cs="宋体"/>
          <w:u w:val="single"/>
          <w:lang w:eastAsia="zh-CN"/>
        </w:rPr>
        <w:t>平顶山市中医医院中医药传承创新大楼（三号病房楼）建设项目全过程造价咨询服务</w:t>
      </w:r>
      <w:r>
        <w:rPr>
          <w:rFonts w:hint="eastAsia" w:ascii="宋体" w:hAnsi="宋体" w:cs="宋体"/>
        </w:rPr>
        <w:t>的潜在投标人应在</w:t>
      </w:r>
      <w:r>
        <w:rPr>
          <w:rFonts w:hint="eastAsia" w:ascii="宋体" w:hAnsi="宋体" w:cs="宋体"/>
          <w:u w:val="single"/>
        </w:rPr>
        <w:t>《全国公共资源交易平台（河南省·平顶山市）》（网址：http://www.pdsggzy.com/）</w:t>
      </w:r>
      <w:r>
        <w:rPr>
          <w:rFonts w:hint="eastAsia" w:ascii="宋体" w:hAnsi="宋体" w:cs="宋体"/>
        </w:rPr>
        <w:t>获取招标文件，并于</w:t>
      </w:r>
      <w:r>
        <w:rPr>
          <w:rFonts w:hint="eastAsia" w:ascii="宋体" w:hAnsi="宋体" w:cs="宋体"/>
          <w:szCs w:val="22"/>
        </w:rPr>
        <w:t>2022年</w:t>
      </w:r>
      <w:r>
        <w:rPr>
          <w:rFonts w:hint="eastAsia" w:ascii="宋体" w:hAnsi="宋体" w:cs="宋体"/>
          <w:szCs w:val="22"/>
          <w:lang w:val="en-US" w:eastAsia="zh-CN"/>
        </w:rPr>
        <w:t>12</w:t>
      </w:r>
      <w:r>
        <w:rPr>
          <w:rFonts w:hint="eastAsia" w:ascii="宋体" w:hAnsi="宋体" w:cs="宋体"/>
          <w:szCs w:val="22"/>
        </w:rPr>
        <w:t>月</w:t>
      </w:r>
      <w:r>
        <w:rPr>
          <w:rFonts w:hint="eastAsia" w:ascii="宋体" w:hAnsi="宋体" w:cs="宋体"/>
          <w:szCs w:val="22"/>
          <w:lang w:val="en-US" w:eastAsia="zh-CN"/>
        </w:rPr>
        <w:t>1</w:t>
      </w:r>
      <w:r>
        <w:rPr>
          <w:rFonts w:hint="eastAsia" w:ascii="宋体" w:hAnsi="宋体" w:cs="宋体"/>
          <w:szCs w:val="22"/>
        </w:rPr>
        <w:t>日</w:t>
      </w:r>
      <w:r>
        <w:rPr>
          <w:rFonts w:hint="eastAsia" w:ascii="宋体" w:hAnsi="宋体" w:cs="宋体"/>
          <w:szCs w:val="22"/>
          <w:lang w:val="en-US" w:eastAsia="zh-CN"/>
        </w:rPr>
        <w:t>9</w:t>
      </w:r>
      <w:r>
        <w:rPr>
          <w:rFonts w:hint="eastAsia" w:ascii="宋体" w:hAnsi="宋体" w:cs="宋体"/>
          <w:szCs w:val="22"/>
        </w:rPr>
        <w:t>点</w:t>
      </w:r>
      <w:r>
        <w:rPr>
          <w:rFonts w:hint="eastAsia" w:ascii="宋体" w:hAnsi="宋体" w:cs="宋体"/>
          <w:szCs w:val="22"/>
          <w:lang w:val="en-US" w:eastAsia="zh-CN"/>
        </w:rPr>
        <w:t>40</w:t>
      </w:r>
      <w:r>
        <w:rPr>
          <w:rFonts w:hint="eastAsia" w:ascii="宋体" w:hAnsi="宋体" w:cs="宋体"/>
          <w:szCs w:val="22"/>
        </w:rPr>
        <w:t>分</w:t>
      </w:r>
      <w:r>
        <w:rPr>
          <w:rFonts w:hint="eastAsia" w:ascii="宋体" w:hAnsi="宋体" w:cs="宋体"/>
          <w:szCs w:val="22"/>
        </w:rPr>
        <w:t>（北京时间）前递交投标文件。</w:t>
      </w:r>
    </w:p>
    <w:p>
      <w:pPr>
        <w:spacing w:line="360" w:lineRule="auto"/>
        <w:rPr>
          <w:b/>
          <w:bCs/>
          <w:szCs w:val="22"/>
        </w:rPr>
      </w:pPr>
      <w:bookmarkStart w:id="5" w:name="_Toc35393790"/>
      <w:bookmarkStart w:id="6" w:name="_Toc28359079"/>
      <w:bookmarkStart w:id="7" w:name="_Toc35393621"/>
      <w:bookmarkStart w:id="8" w:name="_Toc28359002"/>
      <w:bookmarkStart w:id="9" w:name="_Hlk24379207"/>
      <w:r>
        <w:rPr>
          <w:rFonts w:hint="eastAsia"/>
          <w:b/>
          <w:bCs/>
          <w:szCs w:val="22"/>
        </w:rPr>
        <w:t>一、项目基本情况</w:t>
      </w:r>
      <w:bookmarkEnd w:id="5"/>
      <w:bookmarkEnd w:id="6"/>
      <w:bookmarkEnd w:id="7"/>
      <w:bookmarkEnd w:id="8"/>
    </w:p>
    <w:p>
      <w:pPr>
        <w:spacing w:line="360" w:lineRule="auto"/>
        <w:rPr>
          <w:rFonts w:ascii="宋体" w:hAnsi="宋体" w:cs="宋体"/>
        </w:rPr>
      </w:pPr>
      <w:r>
        <w:rPr>
          <w:rFonts w:hint="eastAsia" w:ascii="宋体" w:hAnsi="宋体" w:cs="宋体"/>
        </w:rPr>
        <w:t>1.</w:t>
      </w:r>
      <w:r>
        <w:rPr>
          <w:rFonts w:hint="eastAsia" w:hAnsi="宋体" w:cs="宋体"/>
        </w:rPr>
        <w:t>项目编号</w:t>
      </w:r>
      <w:r>
        <w:rPr>
          <w:rFonts w:hint="eastAsia" w:ascii="宋体" w:hAnsi="宋体" w:cs="宋体"/>
        </w:rPr>
        <w:t>：2022-11-67</w:t>
      </w:r>
    </w:p>
    <w:p>
      <w:pPr>
        <w:spacing w:line="360" w:lineRule="auto"/>
        <w:rPr>
          <w:rFonts w:hint="eastAsia" w:ascii="宋体" w:hAnsi="宋体" w:eastAsia="宋体" w:cs="宋体"/>
          <w:lang w:eastAsia="zh-CN"/>
        </w:rPr>
      </w:pPr>
      <w:r>
        <w:rPr>
          <w:rFonts w:hint="eastAsia" w:ascii="宋体" w:hAnsi="宋体" w:cs="宋体"/>
        </w:rPr>
        <w:t>2.项目名称：</w:t>
      </w:r>
      <w:r>
        <w:rPr>
          <w:rFonts w:hint="eastAsia" w:hAnsi="宋体" w:cs="宋体"/>
          <w:lang w:eastAsia="zh-CN"/>
        </w:rPr>
        <w:t>平顶山市中医医院中医药传承创新大楼（三号病房楼）建设项目全过程造价咨询服务</w:t>
      </w:r>
    </w:p>
    <w:bookmarkEnd w:id="9"/>
    <w:p>
      <w:pPr>
        <w:spacing w:line="360" w:lineRule="auto"/>
        <w:rPr>
          <w:rFonts w:ascii="宋体" w:hAnsi="宋体" w:cs="宋体"/>
        </w:rPr>
      </w:pPr>
      <w:r>
        <w:rPr>
          <w:rFonts w:hint="eastAsia" w:ascii="宋体" w:hAnsi="宋体" w:cs="宋体"/>
        </w:rPr>
        <w:t>3.采购方式</w:t>
      </w:r>
      <w:r>
        <w:rPr>
          <w:rFonts w:hint="eastAsia" w:hAnsi="宋体" w:cs="宋体"/>
        </w:rPr>
        <w:t>：公开招标</w:t>
      </w:r>
    </w:p>
    <w:p>
      <w:pPr>
        <w:spacing w:line="360" w:lineRule="auto"/>
        <w:rPr>
          <w:rFonts w:ascii="宋体" w:hAnsi="宋体" w:cs="宋体"/>
        </w:rPr>
      </w:pPr>
      <w:r>
        <w:rPr>
          <w:rFonts w:hint="eastAsia" w:ascii="宋体" w:hAnsi="宋体" w:cs="宋体"/>
        </w:rPr>
        <w:t>4.预算金额：</w:t>
      </w:r>
      <w:r>
        <w:rPr>
          <w:rFonts w:hint="eastAsia" w:hAnsi="宋体" w:cs="宋体"/>
        </w:rPr>
        <w:t>1100000</w:t>
      </w:r>
      <w:r>
        <w:rPr>
          <w:rFonts w:hint="eastAsia" w:ascii="宋体" w:hAnsi="宋体" w:cs="宋体"/>
        </w:rPr>
        <w:t>元</w:t>
      </w:r>
    </w:p>
    <w:p>
      <w:pPr>
        <w:spacing w:line="360" w:lineRule="auto"/>
        <w:rPr>
          <w:rFonts w:ascii="宋体" w:hAnsi="宋体" w:cs="宋体"/>
        </w:rPr>
      </w:pPr>
      <w:r>
        <w:rPr>
          <w:rFonts w:hint="eastAsia" w:ascii="宋体" w:hAnsi="宋体" w:cs="宋体"/>
        </w:rPr>
        <w:t>最高限价：</w:t>
      </w:r>
      <w:r>
        <w:rPr>
          <w:rFonts w:hint="eastAsia" w:hAnsi="宋体" w:cs="宋体"/>
        </w:rPr>
        <w:t>1100000</w:t>
      </w:r>
      <w:r>
        <w:rPr>
          <w:rFonts w:hint="eastAsia" w:ascii="宋体" w:hAnsi="宋体" w:cs="宋体"/>
        </w:rPr>
        <w:t>元</w:t>
      </w:r>
    </w:p>
    <w:tbl>
      <w:tblPr>
        <w:tblStyle w:val="31"/>
        <w:tblW w:w="8859" w:type="dxa"/>
        <w:tblInd w:w="0" w:type="dxa"/>
        <w:tblLayout w:type="fixed"/>
        <w:tblCellMar>
          <w:top w:w="0" w:type="dxa"/>
          <w:left w:w="0" w:type="dxa"/>
          <w:bottom w:w="0" w:type="dxa"/>
          <w:right w:w="0" w:type="dxa"/>
        </w:tblCellMar>
      </w:tblPr>
      <w:tblGrid>
        <w:gridCol w:w="408"/>
        <w:gridCol w:w="2234"/>
        <w:gridCol w:w="2522"/>
        <w:gridCol w:w="1418"/>
        <w:gridCol w:w="2277"/>
      </w:tblGrid>
      <w:tr>
        <w:tblPrEx>
          <w:tblLayout w:type="fixed"/>
          <w:tblCellMar>
            <w:top w:w="0" w:type="dxa"/>
            <w:left w:w="0" w:type="dxa"/>
            <w:bottom w:w="0" w:type="dxa"/>
            <w:right w:w="0" w:type="dxa"/>
          </w:tblCellMar>
        </w:tblPrEx>
        <w:trPr>
          <w:trHeight w:val="305" w:hRule="atLeast"/>
        </w:trPr>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序号</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包号</w:t>
            </w:r>
          </w:p>
        </w:tc>
        <w:tc>
          <w:tcPr>
            <w:tcW w:w="2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包名称</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包预算（元）</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包最高限价（元）</w:t>
            </w:r>
          </w:p>
        </w:tc>
      </w:tr>
      <w:tr>
        <w:tblPrEx>
          <w:tblLayout w:type="fixed"/>
          <w:tblCellMar>
            <w:top w:w="0" w:type="dxa"/>
            <w:left w:w="0" w:type="dxa"/>
            <w:bottom w:w="0" w:type="dxa"/>
            <w:right w:w="0" w:type="dxa"/>
          </w:tblCellMar>
        </w:tblPrEx>
        <w:trPr>
          <w:trHeight w:val="848" w:hRule="atLeast"/>
        </w:trPr>
        <w:tc>
          <w:tcPr>
            <w:tcW w:w="4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1</w:t>
            </w:r>
          </w:p>
        </w:tc>
        <w:tc>
          <w:tcPr>
            <w:tcW w:w="22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hint="default" w:ascii="宋体" w:hAnsi="宋体" w:eastAsia="宋体" w:cs="宋体"/>
                <w:lang w:val="en-US" w:eastAsia="zh-CN"/>
              </w:rPr>
            </w:pPr>
            <w:r>
              <w:rPr>
                <w:rFonts w:hint="eastAsia" w:hAnsi="宋体" w:cs="宋体"/>
                <w:szCs w:val="22"/>
              </w:rPr>
              <w:t>平公资建2022396号</w:t>
            </w:r>
            <w:r>
              <w:rPr>
                <w:rFonts w:hint="eastAsia" w:hAnsi="宋体" w:cs="宋体"/>
                <w:szCs w:val="22"/>
                <w:lang w:val="en-US" w:eastAsia="zh-CN"/>
              </w:rPr>
              <w:t>-1</w:t>
            </w:r>
          </w:p>
        </w:tc>
        <w:tc>
          <w:tcPr>
            <w:tcW w:w="25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hAnsi="宋体" w:cs="宋体"/>
                <w:lang w:eastAsia="zh-CN"/>
              </w:rPr>
              <w:t>中医医院中医药传承创新大楼（三号病房楼）建设项目全过程造价咨询服务</w:t>
            </w:r>
          </w:p>
        </w:tc>
        <w:tc>
          <w:tcPr>
            <w:tcW w:w="1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1100000</w:t>
            </w:r>
          </w:p>
        </w:tc>
        <w:tc>
          <w:tcPr>
            <w:tcW w:w="22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auto"/>
              <w:jc w:val="center"/>
              <w:textAlignment w:val="center"/>
              <w:rPr>
                <w:rFonts w:ascii="宋体" w:hAnsi="宋体" w:cs="宋体"/>
              </w:rPr>
            </w:pPr>
            <w:r>
              <w:rPr>
                <w:rFonts w:hint="eastAsia" w:ascii="宋体" w:hAnsi="宋体" w:cs="宋体"/>
                <w:kern w:val="0"/>
                <w:lang w:bidi="ar"/>
              </w:rPr>
              <w:t>1100000</w:t>
            </w:r>
          </w:p>
        </w:tc>
      </w:tr>
    </w:tbl>
    <w:p>
      <w:pPr>
        <w:spacing w:line="360" w:lineRule="auto"/>
      </w:pPr>
      <w:r>
        <w:rPr>
          <w:rFonts w:hint="eastAsia"/>
        </w:rPr>
        <w:t>5.采购需求（包括但不限于标的的名称、数量、简要技术需求或服务要求等）</w:t>
      </w:r>
    </w:p>
    <w:p>
      <w:pPr>
        <w:spacing w:line="360" w:lineRule="auto"/>
        <w:ind w:firstLine="420" w:firstLineChars="200"/>
        <w:rPr>
          <w:rFonts w:ascii="宋体" w:hAnsi="宋体" w:cs="宋体"/>
        </w:rPr>
      </w:pPr>
      <w:r>
        <w:rPr>
          <w:rFonts w:hint="eastAsia" w:ascii="宋体" w:hAnsi="宋体" w:cs="宋体"/>
        </w:rPr>
        <w:t>5.1采购内容：</w:t>
      </w:r>
      <w:r>
        <w:rPr>
          <w:rFonts w:hint="eastAsia" w:hAnsi="宋体" w:cs="宋体"/>
        </w:rPr>
        <w:t>平顶山市中医医院中医药传承创新大楼（三号病房楼）建设项目</w:t>
      </w:r>
      <w:r>
        <w:rPr>
          <w:rFonts w:hint="eastAsia" w:hAnsi="宋体" w:cs="宋体"/>
          <w:lang w:eastAsia="zh-CN"/>
        </w:rPr>
        <w:t>，</w:t>
      </w:r>
      <w:r>
        <w:rPr>
          <w:rFonts w:hint="eastAsia" w:hAnsi="宋体" w:cs="宋体"/>
        </w:rPr>
        <w:t>建设规模31020.20平方米，对该项目进行全过程造价咨询服务，具体包括：1、配合项目概算审批工作；2、根据施工图，编制工程量清单及控制价，上报市财政局主管科室，同时做好施工图技术经济分析（计算和分析整个建设项目、各单项工程和单位工程的技术经济指标)；3、编制项目资金使用计划；4、施工阶段造价风险分析及建议；5、审核工程预付款和进度款；6、工程变更、签证及索赔管理（工程变更需注意工程内容有增有减：签证内容与实际施工内容的符合性)；7、协助委托人主要设备和材料的认价工作；8、工程造价动态分析；9、汇总分阶段工程结算；10、审核工程竣工结算；11、协助建设单位整理项目竣工资料，并配合审计工作。</w:t>
      </w:r>
      <w:r>
        <w:rPr>
          <w:rFonts w:hint="eastAsia" w:ascii="宋体" w:hAnsi="宋体" w:cs="宋体"/>
        </w:rPr>
        <w:t>具体内容详见招标文件。</w:t>
      </w:r>
    </w:p>
    <w:p>
      <w:pPr>
        <w:spacing w:line="360" w:lineRule="auto"/>
        <w:ind w:firstLine="420" w:firstLineChars="200"/>
        <w:rPr>
          <w:rFonts w:ascii="宋体" w:hAnsi="宋体" w:cs="宋体"/>
        </w:rPr>
      </w:pPr>
      <w:r>
        <w:rPr>
          <w:rFonts w:hint="eastAsia" w:ascii="宋体" w:hAnsi="宋体" w:cs="宋体"/>
        </w:rPr>
        <w:t>5.2资金来源：财政资金，已落实。</w:t>
      </w:r>
    </w:p>
    <w:p>
      <w:pPr>
        <w:spacing w:line="360" w:lineRule="auto"/>
        <w:ind w:firstLine="420" w:firstLineChars="200"/>
        <w:rPr>
          <w:rFonts w:hAnsi="宋体" w:cs="宋体"/>
          <w:szCs w:val="22"/>
        </w:rPr>
      </w:pPr>
      <w:r>
        <w:rPr>
          <w:rFonts w:hint="eastAsia" w:ascii="宋体" w:hAnsi="宋体" w:cs="宋体"/>
          <w:szCs w:val="22"/>
        </w:rPr>
        <w:t>5.3</w:t>
      </w:r>
      <w:r>
        <w:rPr>
          <w:rFonts w:hint="eastAsia" w:hAnsi="宋体" w:cs="宋体"/>
          <w:szCs w:val="22"/>
        </w:rPr>
        <w:t>项目地点：平顶山市城乡一体化示范区，南临滍阳路，北临复兴路，西临翠竹路，市中医医院新城区分院院内</w:t>
      </w:r>
    </w:p>
    <w:p>
      <w:pPr>
        <w:spacing w:line="360" w:lineRule="auto"/>
        <w:ind w:firstLine="420" w:firstLineChars="200"/>
        <w:rPr>
          <w:rFonts w:ascii="宋体" w:hAnsi="宋体" w:cs="宋体"/>
        </w:rPr>
      </w:pPr>
      <w:r>
        <w:rPr>
          <w:rFonts w:hint="eastAsia" w:ascii="宋体" w:hAnsi="宋体" w:cs="宋体"/>
        </w:rPr>
        <w:t>5.4服务期限：自合同签订之日起至项目工程竣工结算审核结束。</w:t>
      </w:r>
    </w:p>
    <w:p>
      <w:pPr>
        <w:spacing w:line="360" w:lineRule="auto"/>
        <w:ind w:firstLine="420" w:firstLineChars="200"/>
        <w:rPr>
          <w:rFonts w:ascii="宋体" w:hAnsi="宋体" w:cs="宋体"/>
          <w:szCs w:val="22"/>
        </w:rPr>
      </w:pPr>
      <w:r>
        <w:rPr>
          <w:rFonts w:hint="eastAsia" w:ascii="宋体" w:hAnsi="宋体" w:cs="宋体"/>
          <w:szCs w:val="22"/>
        </w:rPr>
        <w:t>5.5服务要求：符合国家相关行业标准及采购人要求</w:t>
      </w:r>
    </w:p>
    <w:p>
      <w:pPr>
        <w:spacing w:line="360" w:lineRule="auto"/>
        <w:ind w:firstLine="420" w:firstLineChars="200"/>
        <w:rPr>
          <w:rFonts w:ascii="宋体" w:hAnsi="宋体" w:cs="宋体"/>
          <w:szCs w:val="22"/>
        </w:rPr>
      </w:pPr>
      <w:r>
        <w:rPr>
          <w:rFonts w:hint="eastAsia" w:ascii="宋体" w:hAnsi="宋体" w:cs="宋体"/>
          <w:szCs w:val="22"/>
        </w:rPr>
        <w:t>5.6标包划分：无</w:t>
      </w:r>
    </w:p>
    <w:p>
      <w:pPr>
        <w:numPr>
          <w:ilvl w:val="0"/>
          <w:numId w:val="2"/>
        </w:numPr>
        <w:spacing w:line="360" w:lineRule="auto"/>
      </w:pPr>
      <w:r>
        <w:rPr>
          <w:rFonts w:hint="eastAsia"/>
        </w:rPr>
        <w:t>合同履行期限：同服务期限</w:t>
      </w:r>
    </w:p>
    <w:p>
      <w:pPr>
        <w:numPr>
          <w:ilvl w:val="0"/>
          <w:numId w:val="2"/>
        </w:numPr>
        <w:spacing w:line="360" w:lineRule="auto"/>
      </w:pPr>
      <w:r>
        <w:rPr>
          <w:rFonts w:hint="eastAsia"/>
        </w:rPr>
        <w:t>是否接受进口产品：否</w:t>
      </w:r>
    </w:p>
    <w:p>
      <w:pPr>
        <w:spacing w:line="360" w:lineRule="auto"/>
        <w:rPr>
          <w:b/>
          <w:bCs/>
          <w:szCs w:val="22"/>
        </w:rPr>
      </w:pPr>
      <w:bookmarkStart w:id="10" w:name="_Toc28359003"/>
      <w:bookmarkStart w:id="11" w:name="_Toc28359080"/>
      <w:bookmarkStart w:id="12" w:name="_Toc35393622"/>
      <w:bookmarkStart w:id="13" w:name="_Toc35393791"/>
      <w:r>
        <w:rPr>
          <w:rFonts w:hint="eastAsia"/>
          <w:b/>
          <w:bCs/>
          <w:szCs w:val="22"/>
        </w:rPr>
        <w:t>二、申请人的资格要求：</w:t>
      </w:r>
      <w:bookmarkEnd w:id="10"/>
      <w:bookmarkEnd w:id="11"/>
      <w:bookmarkEnd w:id="12"/>
      <w:bookmarkEnd w:id="13"/>
    </w:p>
    <w:p>
      <w:pPr>
        <w:spacing w:line="360" w:lineRule="auto"/>
        <w:rPr>
          <w:rFonts w:ascii="宋体" w:hAnsi="宋体" w:cs="宋体"/>
        </w:rPr>
      </w:pPr>
      <w:r>
        <w:rPr>
          <w:rFonts w:hint="eastAsia" w:ascii="宋体" w:hAnsi="宋体" w:cs="宋体"/>
          <w:b/>
          <w:bCs/>
        </w:rPr>
        <w:t>1.满足《中华人民共和国政府采购法》第二十二条规定；</w:t>
      </w:r>
    </w:p>
    <w:p>
      <w:pPr>
        <w:spacing w:line="360" w:lineRule="auto"/>
        <w:rPr>
          <w:rFonts w:ascii="宋体" w:hAnsi="宋体" w:cs="宋体"/>
        </w:rPr>
      </w:pPr>
      <w:bookmarkStart w:id="14" w:name="_Toc28359081"/>
      <w:bookmarkStart w:id="15" w:name="_Toc28359004"/>
      <w:r>
        <w:rPr>
          <w:rFonts w:hint="eastAsia" w:ascii="宋体" w:hAnsi="宋体" w:cs="宋体"/>
          <w:b/>
          <w:bCs/>
        </w:rPr>
        <w:t>2.落实政府采购政策需满足的资格要求：</w:t>
      </w:r>
      <w:r>
        <w:rPr>
          <w:rFonts w:hint="eastAsia" w:hAnsi="宋体"/>
        </w:rPr>
        <w:t>根据《政府采购促进中小企业发展管理办法》(财库[2020]46号)的规定，本项目专门针对中小企业采购，供应商应为中小微企业、监狱企业、残疾人福利性单位，供应商须提供相关有效声明材料。</w:t>
      </w:r>
    </w:p>
    <w:p>
      <w:pPr>
        <w:spacing w:line="360" w:lineRule="auto"/>
        <w:rPr>
          <w:rFonts w:ascii="宋体" w:hAnsi="宋体" w:cs="宋体"/>
          <w:b/>
          <w:bCs/>
        </w:rPr>
      </w:pPr>
      <w:r>
        <w:rPr>
          <w:rFonts w:hint="eastAsia" w:ascii="宋体" w:hAnsi="宋体" w:cs="宋体"/>
          <w:b/>
          <w:bCs/>
        </w:rPr>
        <w:t>3.本项目的特定资格要求：</w:t>
      </w:r>
    </w:p>
    <w:p>
      <w:pPr>
        <w:spacing w:line="360" w:lineRule="auto"/>
        <w:ind w:firstLine="420" w:firstLineChars="200"/>
      </w:pPr>
      <w:r>
        <w:rPr>
          <w:rFonts w:hint="eastAsia"/>
        </w:rPr>
        <w:t>3.1具有独立承担民事责任的能力（提供有效的营业执照、税务登记证、组织机构代码证或三证合一营业执照或</w:t>
      </w:r>
      <w:r>
        <w:rPr>
          <w:rFonts w:hint="eastAsia" w:ascii="宋体" w:hAnsi="宋体" w:cs="宋体"/>
          <w:szCs w:val="21"/>
        </w:rPr>
        <w:t>电子营业执照</w:t>
      </w:r>
      <w:r>
        <w:rPr>
          <w:rFonts w:hint="eastAsia"/>
        </w:rPr>
        <w:t>）；</w:t>
      </w:r>
    </w:p>
    <w:p>
      <w:pPr>
        <w:spacing w:line="360" w:lineRule="auto"/>
        <w:ind w:firstLine="420" w:firstLineChars="200"/>
      </w:pPr>
      <w:r>
        <w:rPr>
          <w:rFonts w:hint="eastAsia"/>
        </w:rPr>
        <w:t>3.2具有良好的商业信誉和健全的财务会计制度（自行承诺）；</w:t>
      </w:r>
    </w:p>
    <w:p>
      <w:pPr>
        <w:spacing w:line="360" w:lineRule="auto"/>
        <w:ind w:firstLine="420" w:firstLineChars="200"/>
      </w:pPr>
      <w:r>
        <w:rPr>
          <w:rFonts w:hint="eastAsia"/>
        </w:rPr>
        <w:t>3.3履行合同所必需的专业技术能力（提供证明材料或承诺书）；</w:t>
      </w:r>
    </w:p>
    <w:p>
      <w:pPr>
        <w:spacing w:line="360" w:lineRule="auto"/>
        <w:ind w:firstLine="420" w:firstLineChars="200"/>
      </w:pPr>
      <w:r>
        <w:rPr>
          <w:rFonts w:hint="eastAsia"/>
        </w:rPr>
        <w:t>3.4有依法缴纳税收和社会保障资金的良好记录（自行承诺））；</w:t>
      </w:r>
    </w:p>
    <w:p>
      <w:pPr>
        <w:spacing w:line="360" w:lineRule="auto"/>
        <w:ind w:firstLine="420" w:firstLineChars="200"/>
      </w:pPr>
      <w:r>
        <w:rPr>
          <w:rFonts w:hint="eastAsia"/>
        </w:rPr>
        <w:t>3.5参加政府采购活动前三年或注册公司以来，在经营活动中没有重大违法记录的书面声明；</w:t>
      </w:r>
    </w:p>
    <w:p>
      <w:pPr>
        <w:spacing w:line="360" w:lineRule="auto"/>
        <w:ind w:firstLine="420" w:firstLineChars="200"/>
      </w:pPr>
      <w:r>
        <w:rPr>
          <w:rFonts w:hint="eastAsia"/>
        </w:rPr>
        <w:t>3.6提供中国执行公开网 “失信被执行人”和信用中国网“税收违法黑名单”，中国政府采购网“政府采购严重违法失信行为名单”查询页面加盖单位公章（文件递交的截止时间前七天内查询，查询页面显示时间）；若有不良记录报名无效，执行财库[2016]125号文；</w:t>
      </w:r>
    </w:p>
    <w:p>
      <w:pPr>
        <w:spacing w:line="360" w:lineRule="auto"/>
        <w:ind w:firstLine="420" w:firstLineChars="200"/>
      </w:pPr>
      <w:r>
        <w:rPr>
          <w:rFonts w:hint="eastAsia"/>
        </w:rPr>
        <w:t>3.7供应商拟派的授权委托人须提供供应商为其缴纳的养老保险证明（成立不满三个月的公司，提供情况说明；如法人本人，无授权人则无需提供社保证明）；</w:t>
      </w:r>
    </w:p>
    <w:p>
      <w:pPr>
        <w:spacing w:line="360" w:lineRule="auto"/>
        <w:ind w:firstLine="420" w:firstLineChars="200"/>
      </w:pPr>
      <w:r>
        <w:rPr>
          <w:rFonts w:hint="eastAsia"/>
        </w:rPr>
        <w:t>3.8投标人拟派项目负责人须具有土建专业国家注册一级造价工程师证书；其它拟派项目组成人员中土建专业注册一级造价工程师不少于2人，安装专业一级造价工程师不少于1人。</w:t>
      </w:r>
    </w:p>
    <w:p>
      <w:pPr>
        <w:spacing w:line="360" w:lineRule="auto"/>
        <w:ind w:firstLine="420" w:firstLineChars="200"/>
        <w:rPr>
          <w:rFonts w:hint="eastAsia"/>
        </w:rPr>
      </w:pPr>
      <w:r>
        <w:rPr>
          <w:rFonts w:hint="eastAsia"/>
        </w:rPr>
        <w:t>3.9本项目不接受联合体投标</w:t>
      </w:r>
      <w:r>
        <w:rPr>
          <w:rFonts w:hint="eastAsia"/>
          <w:lang w:eastAsia="zh-CN"/>
        </w:rPr>
        <w:t>，不允许分包或转包；资格审查方式采用资格后审</w:t>
      </w:r>
      <w:r>
        <w:rPr>
          <w:rFonts w:hint="eastAsia"/>
        </w:rPr>
        <w:t>。</w:t>
      </w:r>
    </w:p>
    <w:p>
      <w:pPr>
        <w:pStyle w:val="2"/>
      </w:pPr>
      <w:r>
        <w:rPr>
          <w:rFonts w:hint="eastAsia" w:ascii="Times New Roman" w:hAnsi="Times New Roman" w:eastAsia="宋体" w:cs="Times New Roman"/>
          <w:b w:val="0"/>
          <w:kern w:val="2"/>
          <w:sz w:val="21"/>
          <w:szCs w:val="22"/>
          <w:lang w:val="en-US" w:eastAsia="zh-CN" w:bidi="ar-SA"/>
        </w:rPr>
        <w:t>注：如投标单位为新成立企业，可提供注册后的相关证明材料。</w:t>
      </w:r>
    </w:p>
    <w:p>
      <w:pPr>
        <w:spacing w:line="360" w:lineRule="auto"/>
        <w:rPr>
          <w:b/>
          <w:bCs/>
          <w:szCs w:val="22"/>
        </w:rPr>
      </w:pPr>
      <w:bookmarkStart w:id="16" w:name="_Toc35393623"/>
      <w:bookmarkStart w:id="17" w:name="_Toc35393792"/>
      <w:r>
        <w:rPr>
          <w:rFonts w:hint="eastAsia"/>
          <w:b/>
          <w:bCs/>
          <w:szCs w:val="22"/>
        </w:rPr>
        <w:t>三、获取</w:t>
      </w:r>
      <w:bookmarkEnd w:id="14"/>
      <w:bookmarkEnd w:id="15"/>
      <w:bookmarkEnd w:id="16"/>
      <w:bookmarkEnd w:id="17"/>
      <w:r>
        <w:rPr>
          <w:rFonts w:hint="eastAsia"/>
          <w:b/>
          <w:bCs/>
          <w:szCs w:val="22"/>
        </w:rPr>
        <w:t>招标文件</w:t>
      </w:r>
    </w:p>
    <w:p>
      <w:pPr>
        <w:spacing w:line="360" w:lineRule="auto"/>
        <w:ind w:firstLine="422" w:firstLineChars="200"/>
        <w:rPr>
          <w:rFonts w:ascii="宋体" w:hAnsi="宋体" w:cs="宋体"/>
        </w:rPr>
      </w:pPr>
      <w:r>
        <w:rPr>
          <w:rFonts w:hint="eastAsia" w:hAnsi="宋体" w:cs="宋体"/>
          <w:b/>
          <w:bCs/>
        </w:rPr>
        <w:t>1.</w:t>
      </w:r>
      <w:r>
        <w:rPr>
          <w:rFonts w:hint="eastAsia" w:ascii="宋体" w:hAnsi="宋体" w:cs="宋体"/>
          <w:b/>
          <w:bCs/>
        </w:rPr>
        <w:t>时间：</w:t>
      </w:r>
      <w:r>
        <w:rPr>
          <w:rFonts w:hint="eastAsia" w:ascii="宋体" w:hAnsi="宋体" w:cs="宋体"/>
          <w:highlight w:val="none"/>
        </w:rPr>
        <w:t>202</w:t>
      </w:r>
      <w:r>
        <w:rPr>
          <w:rFonts w:hint="eastAsia" w:hAnsi="宋体" w:cs="宋体"/>
          <w:highlight w:val="none"/>
        </w:rPr>
        <w:t>2</w:t>
      </w:r>
      <w:r>
        <w:rPr>
          <w:rFonts w:hint="eastAsia" w:ascii="宋体" w:hAnsi="宋体" w:cs="宋体"/>
          <w:highlight w:val="none"/>
        </w:rPr>
        <w:t>年</w:t>
      </w:r>
      <w:r>
        <w:rPr>
          <w:rFonts w:hint="eastAsia"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日至 202</w:t>
      </w:r>
      <w:r>
        <w:rPr>
          <w:rFonts w:hint="eastAsia" w:hAnsi="宋体" w:cs="宋体"/>
          <w:highlight w:val="none"/>
        </w:rPr>
        <w:t>2</w:t>
      </w:r>
      <w:r>
        <w:rPr>
          <w:rFonts w:hint="eastAsia" w:ascii="宋体" w:hAnsi="宋体" w:cs="宋体"/>
          <w:highlight w:val="none"/>
        </w:rPr>
        <w:t>年</w:t>
      </w:r>
      <w:r>
        <w:rPr>
          <w:rFonts w:hint="eastAsia" w:ascii="宋体" w:hAnsi="宋体" w:cs="宋体"/>
          <w:highlight w:val="none"/>
          <w:lang w:val="en-US" w:eastAsia="zh-CN"/>
        </w:rPr>
        <w:t>11</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日，每</w:t>
      </w:r>
      <w:r>
        <w:rPr>
          <w:rFonts w:hint="eastAsia" w:ascii="宋体" w:hAnsi="宋体" w:cs="宋体"/>
        </w:rPr>
        <w:t>天上午0：00至12：00，下午12：00至23：59（北京时间）</w:t>
      </w:r>
    </w:p>
    <w:p>
      <w:pPr>
        <w:spacing w:line="360" w:lineRule="auto"/>
        <w:ind w:firstLine="422" w:firstLineChars="200"/>
        <w:rPr>
          <w:rFonts w:ascii="宋体" w:hAnsi="宋体" w:cs="宋体"/>
        </w:rPr>
      </w:pPr>
      <w:r>
        <w:rPr>
          <w:rFonts w:hint="eastAsia" w:hAnsi="宋体" w:cs="宋体"/>
          <w:b/>
          <w:bCs/>
        </w:rPr>
        <w:t>2.</w:t>
      </w:r>
      <w:r>
        <w:rPr>
          <w:rFonts w:hint="eastAsia" w:ascii="宋体" w:hAnsi="宋体" w:cs="宋体"/>
          <w:b/>
          <w:bCs/>
        </w:rPr>
        <w:t>地点：</w:t>
      </w:r>
      <w:r>
        <w:rPr>
          <w:rFonts w:hint="eastAsia" w:ascii="宋体" w:hAnsi="宋体" w:cs="宋体"/>
        </w:rPr>
        <w:t>《全国公共资源交易平台（河南省·平顶山市）》（网址：</w:t>
      </w:r>
      <w:r>
        <w:fldChar w:fldCharType="begin"/>
      </w:r>
      <w:r>
        <w:instrText xml:space="preserve"> HYPERLINK "http://www.pdsggzy.com/）" </w:instrText>
      </w:r>
      <w:r>
        <w:fldChar w:fldCharType="separate"/>
      </w:r>
      <w:r>
        <w:rPr>
          <w:rStyle w:val="29"/>
          <w:rFonts w:hint="eastAsia" w:ascii="宋体" w:hAnsi="宋体" w:cs="宋体"/>
        </w:rPr>
        <w:t>http://www.pdsggzy.com/）</w:t>
      </w:r>
      <w:r>
        <w:rPr>
          <w:rStyle w:val="29"/>
          <w:rFonts w:hint="eastAsia" w:ascii="宋体" w:hAnsi="宋体" w:cs="宋体"/>
        </w:rPr>
        <w:fldChar w:fldCharType="end"/>
      </w:r>
    </w:p>
    <w:p>
      <w:pPr>
        <w:spacing w:line="360" w:lineRule="auto"/>
        <w:ind w:firstLine="422" w:firstLineChars="200"/>
        <w:rPr>
          <w:rFonts w:ascii="宋体" w:hAnsi="宋体" w:cs="宋体"/>
        </w:rPr>
      </w:pPr>
      <w:r>
        <w:rPr>
          <w:rFonts w:hint="eastAsia" w:hAnsi="宋体" w:cs="宋体"/>
          <w:b/>
          <w:bCs/>
        </w:rPr>
        <w:t>3.</w:t>
      </w:r>
      <w:r>
        <w:rPr>
          <w:rFonts w:hint="eastAsia" w:ascii="宋体" w:hAnsi="宋体" w:cs="宋体"/>
          <w:b/>
          <w:bCs/>
        </w:rPr>
        <w:t>方式：</w:t>
      </w:r>
      <w:r>
        <w:rPr>
          <w:rFonts w:hint="eastAsia" w:ascii="宋体" w:hAnsi="宋体" w:cs="宋体"/>
        </w:rPr>
        <w:t>潜在供应商需凭CA数字证书通过《全国公共资源交易平台（河南省.平顶山市）》（网址：</w:t>
      </w:r>
      <w:r>
        <w:fldChar w:fldCharType="begin"/>
      </w:r>
      <w:r>
        <w:instrText xml:space="preserve"> HYPERLINK "http://www.pdsggzy.com/）" </w:instrText>
      </w:r>
      <w:r>
        <w:fldChar w:fldCharType="separate"/>
      </w:r>
      <w:r>
        <w:rPr>
          <w:rStyle w:val="29"/>
          <w:rFonts w:hint="eastAsia" w:ascii="宋体" w:hAnsi="宋体" w:cs="宋体"/>
        </w:rPr>
        <w:t>http://www.pdsggzy.com/）“供应商登录”入口进入交易系统进行下载文件。</w:t>
      </w:r>
      <w:r>
        <w:rPr>
          <w:rStyle w:val="29"/>
          <w:rFonts w:hint="eastAsia" w:ascii="宋体" w:hAnsi="宋体" w:cs="宋体"/>
        </w:rPr>
        <w:fldChar w:fldCharType="end"/>
      </w:r>
    </w:p>
    <w:p>
      <w:pPr>
        <w:spacing w:line="360" w:lineRule="auto"/>
        <w:ind w:firstLine="422" w:firstLineChars="200"/>
        <w:rPr>
          <w:rFonts w:ascii="宋体" w:hAnsi="宋体" w:cs="宋体"/>
        </w:rPr>
      </w:pPr>
      <w:r>
        <w:rPr>
          <w:rFonts w:hint="eastAsia" w:hAnsi="宋体" w:cs="宋体"/>
          <w:b/>
          <w:bCs/>
        </w:rPr>
        <w:t>4.</w:t>
      </w:r>
      <w:r>
        <w:rPr>
          <w:rFonts w:hint="eastAsia" w:ascii="宋体" w:hAnsi="宋体" w:cs="宋体"/>
          <w:b/>
          <w:bCs/>
        </w:rPr>
        <w:t>售价：</w:t>
      </w:r>
      <w:r>
        <w:rPr>
          <w:rFonts w:hint="eastAsia" w:ascii="宋体" w:hAnsi="宋体" w:cs="宋体"/>
        </w:rPr>
        <w:t>0.00元</w:t>
      </w:r>
    </w:p>
    <w:p>
      <w:pPr>
        <w:spacing w:line="360" w:lineRule="auto"/>
        <w:rPr>
          <w:b/>
          <w:bCs/>
          <w:szCs w:val="22"/>
        </w:rPr>
      </w:pPr>
      <w:bookmarkStart w:id="18" w:name="_Toc28359082"/>
      <w:bookmarkStart w:id="19" w:name="_Toc35393793"/>
      <w:bookmarkStart w:id="20" w:name="_Toc35393624"/>
      <w:bookmarkStart w:id="21" w:name="_Toc28359005"/>
      <w:r>
        <w:rPr>
          <w:rFonts w:hint="eastAsia"/>
          <w:b/>
          <w:bCs/>
          <w:szCs w:val="22"/>
        </w:rPr>
        <w:t>四、</w:t>
      </w:r>
      <w:bookmarkEnd w:id="18"/>
      <w:bookmarkEnd w:id="19"/>
      <w:bookmarkEnd w:id="20"/>
      <w:bookmarkEnd w:id="21"/>
      <w:r>
        <w:rPr>
          <w:rFonts w:hint="eastAsia"/>
          <w:b/>
          <w:bCs/>
          <w:szCs w:val="22"/>
        </w:rPr>
        <w:t>投标截止时间及地点</w:t>
      </w:r>
    </w:p>
    <w:p>
      <w:pPr>
        <w:spacing w:line="360" w:lineRule="auto"/>
        <w:ind w:firstLine="422" w:firstLineChars="200"/>
        <w:rPr>
          <w:rFonts w:ascii="宋体" w:hAnsi="宋体" w:cs="宋体"/>
          <w:highlight w:val="none"/>
        </w:rPr>
      </w:pPr>
      <w:r>
        <w:rPr>
          <w:rFonts w:hint="eastAsia" w:hAnsi="宋体" w:cs="宋体"/>
          <w:b/>
          <w:bCs/>
        </w:rPr>
        <w:t>1.</w:t>
      </w:r>
      <w:r>
        <w:rPr>
          <w:rFonts w:hint="eastAsia" w:ascii="宋体" w:hAnsi="宋体" w:cs="宋体"/>
          <w:b/>
          <w:bCs/>
        </w:rPr>
        <w:t>时间</w:t>
      </w:r>
      <w:r>
        <w:rPr>
          <w:rFonts w:hint="eastAsia" w:ascii="宋体" w:hAnsi="宋体" w:cs="宋体"/>
          <w:highlight w:val="none"/>
        </w:rPr>
        <w:t>：</w:t>
      </w:r>
      <w:r>
        <w:rPr>
          <w:rFonts w:hint="eastAsia" w:ascii="宋体" w:hAnsi="宋体" w:cs="宋体"/>
          <w:szCs w:val="22"/>
          <w:highlight w:val="none"/>
        </w:rPr>
        <w:t>2022年</w:t>
      </w:r>
      <w:r>
        <w:rPr>
          <w:rFonts w:hint="eastAsia" w:ascii="宋体" w:hAnsi="宋体" w:cs="宋体"/>
          <w:szCs w:val="22"/>
          <w:highlight w:val="none"/>
          <w:lang w:val="en-US" w:eastAsia="zh-CN"/>
        </w:rPr>
        <w:t>12</w:t>
      </w:r>
      <w:r>
        <w:rPr>
          <w:rFonts w:hint="eastAsia" w:ascii="宋体" w:hAnsi="宋体" w:cs="宋体"/>
          <w:szCs w:val="22"/>
          <w:highlight w:val="none"/>
        </w:rPr>
        <w:t>月</w:t>
      </w:r>
      <w:r>
        <w:rPr>
          <w:rFonts w:hint="eastAsia" w:ascii="宋体" w:hAnsi="宋体" w:cs="宋体"/>
          <w:szCs w:val="22"/>
          <w:highlight w:val="none"/>
          <w:lang w:val="en-US" w:eastAsia="zh-CN"/>
        </w:rPr>
        <w:t>1</w:t>
      </w:r>
      <w:r>
        <w:rPr>
          <w:rFonts w:hint="eastAsia" w:ascii="宋体" w:hAnsi="宋体" w:cs="宋体"/>
          <w:szCs w:val="22"/>
          <w:highlight w:val="none"/>
        </w:rPr>
        <w:t>日</w:t>
      </w:r>
      <w:r>
        <w:rPr>
          <w:rFonts w:hint="eastAsia" w:ascii="宋体" w:hAnsi="宋体" w:cs="宋体"/>
          <w:szCs w:val="22"/>
          <w:highlight w:val="none"/>
          <w:lang w:val="en-US" w:eastAsia="zh-CN"/>
        </w:rPr>
        <w:t>9</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w:t>
      </w:r>
    </w:p>
    <w:p>
      <w:pPr>
        <w:spacing w:line="360" w:lineRule="auto"/>
        <w:ind w:firstLine="422" w:firstLineChars="200"/>
        <w:rPr>
          <w:rFonts w:ascii="宋体" w:hAnsi="宋体" w:cs="宋体"/>
          <w:highlight w:val="none"/>
        </w:rPr>
      </w:pPr>
      <w:r>
        <w:rPr>
          <w:rFonts w:hint="eastAsia" w:hAnsi="宋体" w:cs="宋体"/>
          <w:b/>
          <w:bCs/>
          <w:highlight w:val="none"/>
        </w:rPr>
        <w:t>2.</w:t>
      </w:r>
      <w:r>
        <w:rPr>
          <w:rFonts w:hint="eastAsia" w:ascii="宋体" w:hAnsi="宋体" w:cs="宋体"/>
          <w:b/>
          <w:bCs/>
          <w:highlight w:val="none"/>
        </w:rPr>
        <w:t>地点：</w:t>
      </w:r>
      <w:r>
        <w:rPr>
          <w:rFonts w:hint="eastAsia" w:ascii="宋体" w:hAnsi="宋体" w:cs="宋体"/>
          <w:highlight w:val="none"/>
        </w:rPr>
        <w:t>《全国公共资源交易平台（河南省·平顶山市）》（网址：http://www.pdsggzy.com/）</w:t>
      </w:r>
    </w:p>
    <w:p>
      <w:pPr>
        <w:spacing w:line="360" w:lineRule="auto"/>
        <w:rPr>
          <w:b/>
          <w:bCs/>
          <w:szCs w:val="22"/>
          <w:highlight w:val="none"/>
        </w:rPr>
      </w:pPr>
      <w:bookmarkStart w:id="22" w:name="_Toc35393625"/>
      <w:bookmarkStart w:id="23" w:name="_Toc28359084"/>
      <w:bookmarkStart w:id="24" w:name="_Toc35393794"/>
      <w:bookmarkStart w:id="25" w:name="_Toc28359007"/>
      <w:r>
        <w:rPr>
          <w:rFonts w:hint="eastAsia"/>
          <w:b/>
          <w:bCs/>
          <w:szCs w:val="22"/>
          <w:highlight w:val="none"/>
        </w:rPr>
        <w:t>五、开标时间及地点</w:t>
      </w:r>
    </w:p>
    <w:p>
      <w:pPr>
        <w:spacing w:line="360" w:lineRule="auto"/>
        <w:ind w:firstLine="422" w:firstLineChars="200"/>
        <w:rPr>
          <w:rFonts w:ascii="宋体" w:hAnsi="宋体" w:cs="宋体"/>
          <w:highlight w:val="none"/>
        </w:rPr>
      </w:pPr>
      <w:r>
        <w:rPr>
          <w:rFonts w:hint="eastAsia" w:hAnsi="宋体" w:cs="宋体"/>
          <w:b/>
          <w:bCs/>
          <w:highlight w:val="none"/>
        </w:rPr>
        <w:t>1.</w:t>
      </w:r>
      <w:r>
        <w:rPr>
          <w:rFonts w:hint="eastAsia" w:ascii="宋体" w:hAnsi="宋体" w:cs="宋体"/>
          <w:b/>
          <w:bCs/>
          <w:highlight w:val="none"/>
        </w:rPr>
        <w:t>时间</w:t>
      </w:r>
      <w:r>
        <w:rPr>
          <w:rFonts w:hint="eastAsia" w:ascii="宋体" w:hAnsi="宋体" w:cs="宋体"/>
          <w:highlight w:val="none"/>
        </w:rPr>
        <w:t>：</w:t>
      </w:r>
      <w:r>
        <w:rPr>
          <w:rFonts w:hint="eastAsia" w:ascii="宋体" w:hAnsi="宋体" w:cs="宋体"/>
          <w:szCs w:val="22"/>
          <w:highlight w:val="none"/>
        </w:rPr>
        <w:t>2022年</w:t>
      </w:r>
      <w:r>
        <w:rPr>
          <w:rFonts w:hint="eastAsia" w:ascii="宋体" w:hAnsi="宋体" w:cs="宋体"/>
          <w:szCs w:val="22"/>
          <w:highlight w:val="none"/>
          <w:lang w:val="en-US" w:eastAsia="zh-CN"/>
        </w:rPr>
        <w:t>12</w:t>
      </w:r>
      <w:r>
        <w:rPr>
          <w:rFonts w:hint="eastAsia" w:ascii="宋体" w:hAnsi="宋体" w:cs="宋体"/>
          <w:szCs w:val="22"/>
          <w:highlight w:val="none"/>
        </w:rPr>
        <w:t>月</w:t>
      </w:r>
      <w:r>
        <w:rPr>
          <w:rFonts w:hint="eastAsia" w:ascii="宋体" w:hAnsi="宋体" w:cs="宋体"/>
          <w:szCs w:val="22"/>
          <w:highlight w:val="none"/>
          <w:lang w:val="en-US" w:eastAsia="zh-CN"/>
        </w:rPr>
        <w:t>1</w:t>
      </w:r>
      <w:r>
        <w:rPr>
          <w:rFonts w:hint="eastAsia" w:ascii="宋体" w:hAnsi="宋体" w:cs="宋体"/>
          <w:szCs w:val="22"/>
          <w:highlight w:val="none"/>
        </w:rPr>
        <w:t>日</w:t>
      </w:r>
      <w:r>
        <w:rPr>
          <w:rFonts w:hint="eastAsia" w:ascii="宋体" w:hAnsi="宋体" w:cs="宋体"/>
          <w:szCs w:val="22"/>
          <w:highlight w:val="none"/>
          <w:lang w:val="en-US" w:eastAsia="zh-CN"/>
        </w:rPr>
        <w:t>9</w:t>
      </w:r>
      <w:r>
        <w:rPr>
          <w:rFonts w:hint="eastAsia" w:ascii="宋体" w:hAnsi="宋体" w:cs="宋体"/>
          <w:szCs w:val="22"/>
          <w:highlight w:val="none"/>
        </w:rPr>
        <w:t>点</w:t>
      </w:r>
      <w:r>
        <w:rPr>
          <w:rFonts w:hint="eastAsia" w:ascii="宋体" w:hAnsi="宋体" w:cs="宋体"/>
          <w:szCs w:val="22"/>
          <w:highlight w:val="none"/>
          <w:lang w:val="en-US" w:eastAsia="zh-CN"/>
        </w:rPr>
        <w:t>40</w:t>
      </w:r>
      <w:r>
        <w:rPr>
          <w:rFonts w:hint="eastAsia" w:ascii="宋体" w:hAnsi="宋体" w:cs="宋体"/>
          <w:szCs w:val="22"/>
          <w:highlight w:val="none"/>
        </w:rPr>
        <w:t>分（北京时间）</w:t>
      </w:r>
    </w:p>
    <w:p>
      <w:pPr>
        <w:spacing w:line="360" w:lineRule="auto"/>
        <w:ind w:firstLine="422" w:firstLineChars="200"/>
        <w:rPr>
          <w:rFonts w:ascii="宋体" w:hAnsi="宋体" w:cs="宋体"/>
        </w:rPr>
      </w:pPr>
      <w:r>
        <w:rPr>
          <w:rFonts w:hint="eastAsia" w:hAnsi="宋体" w:cs="宋体"/>
          <w:b/>
          <w:bCs/>
        </w:rPr>
        <w:t>2.</w:t>
      </w:r>
      <w:r>
        <w:rPr>
          <w:rFonts w:hint="eastAsia" w:ascii="宋体" w:hAnsi="宋体" w:cs="宋体"/>
          <w:b/>
          <w:bCs/>
        </w:rPr>
        <w:t>地点：</w:t>
      </w:r>
      <w:r>
        <w:rPr>
          <w:rFonts w:hint="eastAsia" w:ascii="宋体" w:hAnsi="宋体" w:cs="宋体"/>
        </w:rPr>
        <w:t>《全国公共资源交易平台（河南省·平顶山市）》（网址：http://www.pdsggzy.com/）</w:t>
      </w:r>
    </w:p>
    <w:bookmarkEnd w:id="22"/>
    <w:bookmarkEnd w:id="23"/>
    <w:bookmarkEnd w:id="24"/>
    <w:bookmarkEnd w:id="25"/>
    <w:p>
      <w:pPr>
        <w:spacing w:line="360" w:lineRule="auto"/>
        <w:rPr>
          <w:b/>
          <w:bCs/>
        </w:rPr>
      </w:pPr>
      <w:r>
        <w:rPr>
          <w:rFonts w:hint="eastAsia"/>
          <w:b/>
          <w:bCs/>
        </w:rPr>
        <w:t>六、发布公告的媒介及招标公告期限</w:t>
      </w:r>
    </w:p>
    <w:p>
      <w:pPr>
        <w:spacing w:line="360" w:lineRule="auto"/>
        <w:ind w:firstLine="420" w:firstLineChars="200"/>
        <w:rPr>
          <w:rFonts w:ascii="宋体" w:hAnsi="宋体" w:cs="宋体"/>
        </w:rPr>
      </w:pPr>
      <w:r>
        <w:rPr>
          <w:rFonts w:hint="eastAsia" w:ascii="宋体" w:hAnsi="宋体" w:cs="宋体"/>
        </w:rPr>
        <w:t>本次招标公告在《河南省政府采购网》、《平顶山市政府采购网》、</w:t>
      </w:r>
      <w:r>
        <w:rPr>
          <w:rFonts w:hint="eastAsia" w:ascii="宋体" w:hAnsi="宋体" w:cs="宋体"/>
          <w:szCs w:val="21"/>
        </w:rPr>
        <w:t>《中国招标投标公共服务平台》、《河南省电子招标投标公共服务平台》、</w:t>
      </w:r>
      <w:r>
        <w:rPr>
          <w:rFonts w:hint="eastAsia" w:ascii="宋体" w:hAnsi="宋体" w:cs="宋体"/>
        </w:rPr>
        <w:t>《全国公共资源交易平台（河南省·平顶山市）》网上发布上发布。 招标公告期限为五个工作日。</w:t>
      </w:r>
    </w:p>
    <w:p>
      <w:pPr>
        <w:spacing w:line="360" w:lineRule="auto"/>
        <w:rPr>
          <w:b/>
          <w:bCs/>
          <w:szCs w:val="22"/>
        </w:rPr>
      </w:pPr>
      <w:bookmarkStart w:id="26" w:name="_Toc35393795"/>
      <w:bookmarkStart w:id="27" w:name="_Toc35393626"/>
      <w:r>
        <w:rPr>
          <w:rFonts w:hint="eastAsia"/>
          <w:b/>
          <w:bCs/>
          <w:szCs w:val="22"/>
        </w:rPr>
        <w:t>七、其他补充事宜</w:t>
      </w:r>
      <w:bookmarkEnd w:id="26"/>
      <w:bookmarkEnd w:id="27"/>
    </w:p>
    <w:p>
      <w:pPr>
        <w:spacing w:line="360" w:lineRule="auto"/>
        <w:ind w:firstLine="420" w:firstLineChars="200"/>
        <w:rPr>
          <w:rFonts w:ascii="宋体" w:hAnsi="宋体" w:cs="宋体"/>
        </w:rPr>
      </w:pPr>
      <w:r>
        <w:rPr>
          <w:rFonts w:hint="eastAsia" w:ascii="宋体" w:hAnsi="宋体" w:cs="宋体"/>
        </w:rPr>
        <w:t>1.平顶山市公共资源交易中心全面实行在线“不见面”开标，投标人远程在线解密响应文件，不再到开标现场，投标人开标前应仔细阅读招标文件中《“不见面”开标注意事项及操作流程》。</w:t>
      </w:r>
    </w:p>
    <w:p>
      <w:pPr>
        <w:spacing w:line="360" w:lineRule="auto"/>
        <w:ind w:firstLine="420" w:firstLineChars="200"/>
        <w:rPr>
          <w:rFonts w:ascii="宋体" w:hAnsi="宋体" w:cs="宋体"/>
        </w:rPr>
      </w:pPr>
      <w:r>
        <w:rPr>
          <w:rFonts w:hint="eastAsia" w:ascii="宋体" w:hAnsi="宋体" w:cs="宋体"/>
        </w:rPr>
        <w:t>2.各投标投标人可凭借CA数字证书，登录平顶山市公共资源交易平台，在系统内进行在线质疑（异议）、投诉，各招标人（代理机构）、行政监督部门可针对在线质疑（异议）、投诉进行在线答复。</w:t>
      </w:r>
    </w:p>
    <w:p>
      <w:pPr>
        <w:spacing w:line="360" w:lineRule="auto"/>
        <w:ind w:firstLine="420" w:firstLineChars="200"/>
        <w:rPr>
          <w:rFonts w:ascii="宋体" w:hAnsi="宋体" w:cs="宋体"/>
        </w:rPr>
      </w:pPr>
      <w:r>
        <w:rPr>
          <w:rFonts w:hint="eastAsia" w:ascii="宋体" w:hAnsi="宋体" w:cs="宋体"/>
        </w:rPr>
        <w:t>3.供应商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360" w:lineRule="auto"/>
        <w:ind w:firstLine="420" w:firstLineChars="200"/>
        <w:rPr>
          <w:rFonts w:ascii="宋体" w:hAnsi="宋体" w:cs="宋体"/>
        </w:rPr>
      </w:pPr>
      <w:r>
        <w:rPr>
          <w:rFonts w:hint="eastAsia" w:ascii="宋体" w:hAnsi="宋体" w:cs="宋体"/>
        </w:rPr>
        <w:t>4.“该公告已同步至“平顶山市公共资源交易中心微信公众号”，可通过公众号中的服务栏目进行查阅”</w:t>
      </w:r>
    </w:p>
    <w:p>
      <w:pPr>
        <w:spacing w:line="360" w:lineRule="auto"/>
        <w:ind w:firstLine="420" w:firstLineChars="200"/>
        <w:rPr>
          <w:rFonts w:ascii="宋体" w:hAnsi="宋体" w:cs="宋体"/>
        </w:rPr>
      </w:pPr>
      <w:r>
        <w:rPr>
          <w:rFonts w:hint="eastAsia" w:ascii="宋体" w:hAnsi="宋体" w:cs="宋体"/>
        </w:rPr>
        <w:t>5.监督单位</w:t>
      </w:r>
      <w:r>
        <w:rPr>
          <w:rFonts w:hint="eastAsia" w:ascii="宋体" w:hAnsi="宋体" w:cs="宋体"/>
          <w:lang w:val="en-US" w:eastAsia="zh-CN"/>
        </w:rPr>
        <w:t>1</w:t>
      </w:r>
      <w:r>
        <w:rPr>
          <w:rFonts w:hint="eastAsia" w:ascii="宋体" w:hAnsi="宋体" w:cs="宋体"/>
        </w:rPr>
        <w:t>：平顶山市人民政府采购服务中心</w:t>
      </w:r>
    </w:p>
    <w:p>
      <w:pPr>
        <w:spacing w:line="360" w:lineRule="auto"/>
        <w:ind w:firstLine="420" w:firstLineChars="200"/>
        <w:rPr>
          <w:rFonts w:ascii="宋体" w:hAnsi="宋体" w:cs="宋体"/>
        </w:rPr>
      </w:pPr>
      <w:r>
        <w:rPr>
          <w:rFonts w:hint="eastAsia" w:ascii="宋体" w:hAnsi="宋体" w:cs="宋体"/>
        </w:rPr>
        <w:t xml:space="preserve">统一社会信用代码：12410400750726417G </w:t>
      </w:r>
    </w:p>
    <w:p>
      <w:pPr>
        <w:spacing w:line="360" w:lineRule="auto"/>
        <w:ind w:firstLine="420" w:firstLineChars="200"/>
        <w:rPr>
          <w:rFonts w:hint="eastAsia" w:ascii="宋体" w:hAnsi="宋体" w:cs="宋体"/>
        </w:rPr>
      </w:pPr>
      <w:r>
        <w:rPr>
          <w:rFonts w:hint="eastAsia" w:ascii="宋体" w:hAnsi="宋体" w:cs="宋体"/>
        </w:rPr>
        <w:t>联系电话：0375-2627596</w:t>
      </w:r>
    </w:p>
    <w:p>
      <w:pPr>
        <w:pStyle w:val="2"/>
        <w:ind w:firstLine="420" w:firstLineChars="200"/>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监督单位2：平顶山市建设工程招标投标事务中心</w:t>
      </w:r>
    </w:p>
    <w:p>
      <w:pPr>
        <w:pStyle w:val="2"/>
        <w:ind w:firstLine="420" w:firstLineChars="200"/>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统一社会信用代码：12410400F737105200</w:t>
      </w:r>
    </w:p>
    <w:p>
      <w:pPr>
        <w:pStyle w:val="2"/>
        <w:ind w:firstLine="420" w:firstLineChars="200"/>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联系人：王先生</w:t>
      </w:r>
    </w:p>
    <w:p>
      <w:pPr>
        <w:pStyle w:val="2"/>
        <w:ind w:firstLine="420" w:firstLineChars="200"/>
        <w:rPr>
          <w:rFonts w:hint="eastAsia" w:ascii="宋体" w:hAnsi="宋体" w:eastAsia="宋体" w:cs="宋体"/>
          <w:b w:val="0"/>
          <w:kern w:val="2"/>
          <w:sz w:val="21"/>
          <w:szCs w:val="22"/>
          <w:lang w:val="en-US" w:eastAsia="zh-CN" w:bidi="ar-SA"/>
        </w:rPr>
      </w:pPr>
      <w:r>
        <w:rPr>
          <w:rFonts w:hint="eastAsia" w:ascii="宋体" w:hAnsi="宋体" w:eastAsia="宋体" w:cs="宋体"/>
          <w:b w:val="0"/>
          <w:kern w:val="2"/>
          <w:sz w:val="21"/>
          <w:szCs w:val="22"/>
          <w:lang w:val="en-US" w:eastAsia="zh-CN" w:bidi="ar-SA"/>
        </w:rPr>
        <w:t>联系电话：0375-2633905</w:t>
      </w:r>
    </w:p>
    <w:p>
      <w:pPr>
        <w:spacing w:line="360" w:lineRule="auto"/>
        <w:rPr>
          <w:b/>
          <w:bCs/>
          <w:szCs w:val="22"/>
        </w:rPr>
      </w:pPr>
      <w:bookmarkStart w:id="28" w:name="_Toc35393796"/>
      <w:bookmarkStart w:id="29" w:name="_Toc35393627"/>
      <w:bookmarkStart w:id="30" w:name="_Toc28359008"/>
      <w:bookmarkStart w:id="31" w:name="_Toc28359085"/>
      <w:r>
        <w:rPr>
          <w:rFonts w:hint="eastAsia"/>
          <w:b/>
          <w:bCs/>
          <w:szCs w:val="22"/>
        </w:rPr>
        <w:t>八、</w:t>
      </w:r>
      <w:bookmarkEnd w:id="28"/>
      <w:bookmarkEnd w:id="29"/>
      <w:bookmarkEnd w:id="30"/>
      <w:bookmarkEnd w:id="31"/>
      <w:r>
        <w:rPr>
          <w:rFonts w:hint="eastAsia"/>
          <w:b/>
          <w:bCs/>
          <w:szCs w:val="22"/>
        </w:rPr>
        <w:t>凡对本次招标提出询问，请按照以下方式联系</w:t>
      </w:r>
    </w:p>
    <w:p>
      <w:pPr>
        <w:spacing w:line="460" w:lineRule="exact"/>
        <w:ind w:firstLine="422" w:firstLineChars="200"/>
        <w:rPr>
          <w:rFonts w:ascii="宋体" w:hAnsi="宋体" w:cs="宋体"/>
          <w:b/>
          <w:bCs/>
          <w:szCs w:val="21"/>
        </w:rPr>
      </w:pPr>
      <w:r>
        <w:rPr>
          <w:rFonts w:hint="eastAsia" w:ascii="宋体" w:hAnsi="宋体" w:cs="宋体"/>
          <w:b/>
          <w:bCs/>
          <w:szCs w:val="21"/>
        </w:rPr>
        <w:t>1.采购人信息</w:t>
      </w:r>
      <w:bookmarkStart w:id="32" w:name="_Toc28359009"/>
      <w:bookmarkStart w:id="33" w:name="_Toc28359086"/>
    </w:p>
    <w:p>
      <w:pPr>
        <w:spacing w:line="460" w:lineRule="exact"/>
        <w:ind w:firstLine="420" w:firstLineChars="200"/>
        <w:rPr>
          <w:rFonts w:hAnsi="宋体" w:cs="宋体"/>
        </w:rPr>
      </w:pPr>
      <w:r>
        <w:rPr>
          <w:rFonts w:hint="eastAsia" w:ascii="宋体" w:hAnsi="宋体" w:cs="宋体"/>
        </w:rPr>
        <w:t>名称：</w:t>
      </w:r>
      <w:r>
        <w:rPr>
          <w:rFonts w:hint="eastAsia" w:hAnsi="宋体" w:cs="宋体"/>
        </w:rPr>
        <w:t>平顶山市中医医院</w:t>
      </w:r>
    </w:p>
    <w:p>
      <w:pPr>
        <w:spacing w:line="460" w:lineRule="exact"/>
        <w:ind w:firstLine="420" w:firstLineChars="200"/>
        <w:rPr>
          <w:rFonts w:ascii="宋体" w:hAnsi="宋体" w:cs="宋体"/>
        </w:rPr>
      </w:pPr>
      <w:r>
        <w:rPr>
          <w:rFonts w:hint="eastAsia" w:ascii="宋体" w:hAnsi="宋体" w:cs="宋体"/>
        </w:rPr>
        <w:t>地址：平顶山市中兴路北段4号院　　　　　　　　　</w:t>
      </w:r>
    </w:p>
    <w:p>
      <w:pPr>
        <w:spacing w:line="460" w:lineRule="exact"/>
        <w:ind w:firstLine="420" w:firstLineChars="200"/>
        <w:rPr>
          <w:rFonts w:ascii="宋体" w:hAnsi="宋体" w:cs="宋体"/>
        </w:rPr>
      </w:pPr>
      <w:r>
        <w:rPr>
          <w:rFonts w:hint="eastAsia" w:ascii="宋体" w:hAnsi="宋体" w:cs="宋体"/>
        </w:rPr>
        <w:t>联系人：孟琳</w:t>
      </w:r>
    </w:p>
    <w:p>
      <w:pPr>
        <w:spacing w:line="460" w:lineRule="exact"/>
        <w:ind w:firstLine="420" w:firstLineChars="200"/>
        <w:rPr>
          <w:rFonts w:ascii="宋体" w:hAnsi="宋体" w:cs="宋体"/>
        </w:rPr>
      </w:pPr>
      <w:r>
        <w:rPr>
          <w:rFonts w:hint="eastAsia" w:ascii="宋体" w:hAnsi="宋体" w:cs="宋体"/>
        </w:rPr>
        <w:t>联系方式：0375-2972605</w:t>
      </w:r>
    </w:p>
    <w:p>
      <w:pPr>
        <w:spacing w:line="460" w:lineRule="exact"/>
        <w:ind w:firstLine="422" w:firstLineChars="200"/>
        <w:rPr>
          <w:rFonts w:ascii="宋体" w:hAnsi="宋体" w:cs="宋体"/>
          <w:b/>
          <w:bCs/>
          <w:szCs w:val="21"/>
        </w:rPr>
      </w:pPr>
      <w:r>
        <w:rPr>
          <w:rFonts w:hint="eastAsia" w:ascii="宋体" w:hAnsi="宋体" w:cs="宋体"/>
          <w:b/>
          <w:bCs/>
          <w:szCs w:val="21"/>
        </w:rPr>
        <w:t>2.采购代理机构信息</w:t>
      </w:r>
      <w:bookmarkEnd w:id="32"/>
      <w:bookmarkEnd w:id="33"/>
    </w:p>
    <w:p>
      <w:pPr>
        <w:spacing w:line="460" w:lineRule="exact"/>
        <w:ind w:firstLine="420" w:firstLineChars="200"/>
        <w:rPr>
          <w:rFonts w:ascii="宋体" w:hAnsi="宋体" w:cs="宋体"/>
          <w:szCs w:val="21"/>
        </w:rPr>
      </w:pPr>
      <w:r>
        <w:rPr>
          <w:rFonts w:hint="eastAsia" w:ascii="宋体" w:hAnsi="宋体" w:cs="宋体"/>
          <w:szCs w:val="21"/>
        </w:rPr>
        <w:t>名称：方大国际工程咨询股份有限公司　　　　　　　　　　　　</w:t>
      </w:r>
    </w:p>
    <w:p>
      <w:pPr>
        <w:spacing w:line="460" w:lineRule="exact"/>
        <w:ind w:firstLine="420" w:firstLineChars="200"/>
        <w:rPr>
          <w:rFonts w:ascii="宋体" w:hAnsi="宋体" w:cs="宋体"/>
          <w:szCs w:val="21"/>
        </w:rPr>
      </w:pPr>
      <w:r>
        <w:rPr>
          <w:rFonts w:hint="eastAsia" w:ascii="宋体" w:hAnsi="宋体" w:cs="宋体"/>
          <w:szCs w:val="21"/>
        </w:rPr>
        <w:t>地址：郑州市郑东新区康宁街与普济路交会处德威广场12层　　　　　　　　　　　　</w:t>
      </w:r>
    </w:p>
    <w:p>
      <w:pPr>
        <w:spacing w:line="460" w:lineRule="exact"/>
        <w:ind w:firstLine="420" w:firstLineChars="200"/>
        <w:rPr>
          <w:rFonts w:ascii="宋体" w:hAnsi="宋体" w:cs="宋体"/>
          <w:szCs w:val="21"/>
        </w:rPr>
      </w:pPr>
      <w:r>
        <w:rPr>
          <w:rFonts w:hint="eastAsia" w:ascii="宋体" w:hAnsi="宋体" w:cs="宋体"/>
          <w:szCs w:val="21"/>
        </w:rPr>
        <w:t>联系人：金广涛</w:t>
      </w:r>
    </w:p>
    <w:p>
      <w:pPr>
        <w:spacing w:line="460" w:lineRule="exact"/>
        <w:ind w:firstLine="420" w:firstLineChars="200"/>
        <w:rPr>
          <w:rFonts w:ascii="宋体" w:hAnsi="宋体" w:cs="宋体"/>
          <w:szCs w:val="21"/>
        </w:rPr>
      </w:pPr>
      <w:r>
        <w:rPr>
          <w:rFonts w:hint="eastAsia" w:ascii="宋体" w:hAnsi="宋体" w:cs="宋体"/>
          <w:szCs w:val="21"/>
        </w:rPr>
        <w:t>联系方式：</w:t>
      </w:r>
      <w:bookmarkStart w:id="34" w:name="_Toc28359087"/>
      <w:bookmarkStart w:id="35" w:name="_Toc28359010"/>
      <w:r>
        <w:rPr>
          <w:rFonts w:hint="eastAsia" w:ascii="宋体" w:hAnsi="宋体" w:cs="宋体"/>
          <w:szCs w:val="21"/>
        </w:rPr>
        <w:t>13323756823　</w:t>
      </w:r>
    </w:p>
    <w:p>
      <w:pPr>
        <w:spacing w:line="460" w:lineRule="exact"/>
        <w:ind w:firstLine="422" w:firstLineChars="200"/>
        <w:rPr>
          <w:rFonts w:ascii="宋体" w:hAnsi="宋体" w:cs="宋体"/>
          <w:b/>
          <w:bCs/>
          <w:szCs w:val="21"/>
        </w:rPr>
      </w:pPr>
      <w:r>
        <w:rPr>
          <w:rFonts w:hint="eastAsia" w:ascii="宋体" w:hAnsi="宋体" w:cs="宋体"/>
          <w:b/>
          <w:bCs/>
          <w:szCs w:val="21"/>
        </w:rPr>
        <w:t>3.项目联系方式</w:t>
      </w:r>
      <w:bookmarkEnd w:id="34"/>
      <w:bookmarkEnd w:id="35"/>
    </w:p>
    <w:p>
      <w:pPr>
        <w:spacing w:line="460" w:lineRule="exact"/>
        <w:ind w:firstLine="420" w:firstLineChars="200"/>
        <w:rPr>
          <w:rFonts w:ascii="宋体" w:hAnsi="宋体" w:cs="宋体"/>
          <w:szCs w:val="21"/>
        </w:rPr>
      </w:pPr>
      <w:r>
        <w:rPr>
          <w:rFonts w:hint="eastAsia" w:ascii="宋体" w:hAnsi="宋体" w:cs="宋体"/>
          <w:szCs w:val="21"/>
        </w:rPr>
        <w:t>项目联系人：金广涛</w:t>
      </w:r>
    </w:p>
    <w:p>
      <w:pPr>
        <w:spacing w:line="460" w:lineRule="exact"/>
        <w:ind w:firstLine="420" w:firstLineChars="200"/>
        <w:rPr>
          <w:rFonts w:ascii="宋体" w:hAnsi="宋体" w:cs="宋体"/>
          <w:szCs w:val="21"/>
        </w:rPr>
      </w:pPr>
      <w:r>
        <w:rPr>
          <w:rFonts w:hint="eastAsia" w:ascii="宋体" w:hAnsi="宋体" w:cs="宋体"/>
          <w:szCs w:val="21"/>
        </w:rPr>
        <w:t>电　话：13323756823　</w:t>
      </w:r>
    </w:p>
    <w:p>
      <w:pPr>
        <w:spacing w:line="360" w:lineRule="auto"/>
        <w:rPr>
          <w:rFonts w:ascii="宋体" w:hAnsi="宋体"/>
          <w:sz w:val="22"/>
          <w:szCs w:val="22"/>
        </w:rPr>
      </w:pPr>
    </w:p>
    <w:p>
      <w:pPr>
        <w:rPr>
          <w:rFonts w:ascii="宋体" w:hAnsi="宋体"/>
        </w:rPr>
      </w:pPr>
      <w:bookmarkStart w:id="36" w:name="_Toc14181"/>
      <w:r>
        <w:rPr>
          <w:rFonts w:hint="eastAsia" w:ascii="宋体" w:hAnsi="宋体"/>
        </w:rPr>
        <w:br w:type="page"/>
      </w:r>
    </w:p>
    <w:p>
      <w:pPr>
        <w:pStyle w:val="3"/>
        <w:snapToGrid w:val="0"/>
        <w:spacing w:line="240" w:lineRule="auto"/>
        <w:ind w:left="1125" w:firstLine="2249" w:firstLineChars="700"/>
        <w:rPr>
          <w:rFonts w:ascii="宋体" w:hAnsi="宋体"/>
        </w:rPr>
      </w:pPr>
      <w:bookmarkStart w:id="37" w:name="_Toc19019"/>
      <w:r>
        <w:rPr>
          <w:rFonts w:hint="eastAsia" w:ascii="宋体" w:hAnsi="宋体"/>
        </w:rPr>
        <w:t>第二章 投标人须知</w:t>
      </w:r>
      <w:bookmarkEnd w:id="4"/>
      <w:bookmarkEnd w:id="36"/>
      <w:bookmarkEnd w:id="37"/>
    </w:p>
    <w:p>
      <w:pPr>
        <w:pStyle w:val="2"/>
        <w:jc w:val="center"/>
        <w:rPr>
          <w:rFonts w:ascii="宋体" w:hAnsi="宋体" w:eastAsia="宋体"/>
        </w:rPr>
      </w:pPr>
      <w:bookmarkStart w:id="38" w:name="_Toc512597504"/>
      <w:bookmarkStart w:id="39" w:name="_Toc16840"/>
      <w:bookmarkStart w:id="40" w:name="_Toc184635070"/>
      <w:r>
        <w:rPr>
          <w:rFonts w:hint="eastAsia" w:ascii="宋体" w:hAnsi="宋体" w:eastAsia="宋体"/>
        </w:rPr>
        <w:t>投标人须知前附表</w:t>
      </w:r>
      <w:bookmarkEnd w:id="38"/>
      <w:bookmarkEnd w:id="39"/>
      <w:bookmarkEnd w:id="40"/>
    </w:p>
    <w:p>
      <w:pPr>
        <w:pStyle w:val="17"/>
        <w:ind w:left="840" w:hanging="420"/>
      </w:pPr>
      <w:bookmarkStart w:id="41" w:name="_Toc144974497"/>
      <w:bookmarkStart w:id="42" w:name="_Toc246996918"/>
      <w:bookmarkStart w:id="43" w:name="_Toc296602420"/>
      <w:bookmarkStart w:id="44" w:name="_Toc247085689"/>
      <w:bookmarkStart w:id="45" w:name="_Toc246996175"/>
      <w:bookmarkStart w:id="46" w:name="_Toc179632546"/>
      <w:bookmarkStart w:id="47" w:name="_Toc152045529"/>
      <w:bookmarkStart w:id="48" w:name="_Toc152042305"/>
    </w:p>
    <w:tbl>
      <w:tblPr>
        <w:tblStyle w:val="31"/>
        <w:tblW w:w="8796" w:type="dxa"/>
        <w:tblInd w:w="760" w:type="dxa"/>
        <w:tblLayout w:type="fixed"/>
        <w:tblCellMar>
          <w:top w:w="0" w:type="dxa"/>
          <w:left w:w="0" w:type="dxa"/>
          <w:bottom w:w="0" w:type="dxa"/>
          <w:right w:w="0" w:type="dxa"/>
        </w:tblCellMar>
      </w:tblPr>
      <w:tblGrid>
        <w:gridCol w:w="858"/>
        <w:gridCol w:w="1364"/>
        <w:gridCol w:w="6574"/>
      </w:tblGrid>
      <w:tr>
        <w:tblPrEx>
          <w:tblLayout w:type="fixed"/>
          <w:tblCellMar>
            <w:top w:w="0" w:type="dxa"/>
            <w:left w:w="0" w:type="dxa"/>
            <w:bottom w:w="0" w:type="dxa"/>
            <w:right w:w="0" w:type="dxa"/>
          </w:tblCellMar>
        </w:tblPrEx>
        <w:trPr>
          <w:trHeight w:val="311" w:hRule="atLeast"/>
        </w:trPr>
        <w:tc>
          <w:tcPr>
            <w:tcW w:w="858" w:type="dxa"/>
            <w:tcBorders>
              <w:top w:val="single" w:color="000000" w:sz="4" w:space="0"/>
              <w:left w:val="single" w:color="000000" w:sz="4" w:space="0"/>
              <w:bottom w:val="single" w:color="000000" w:sz="4" w:space="0"/>
              <w:right w:val="single" w:color="000000" w:sz="4" w:space="0"/>
            </w:tcBorders>
          </w:tcPr>
          <w:p>
            <w:pPr>
              <w:pStyle w:val="40"/>
              <w:kinsoku w:val="0"/>
              <w:overflowPunct w:val="0"/>
              <w:spacing w:before="2" w:line="289" w:lineRule="exact"/>
              <w:ind w:right="218"/>
              <w:jc w:val="right"/>
              <w:rPr>
                <w:rFonts w:ascii="仿宋" w:hAnsi="仿宋" w:eastAsia="仿宋"/>
              </w:rPr>
            </w:pPr>
            <w:bookmarkStart w:id="49" w:name="_Toc413941322"/>
            <w:bookmarkStart w:id="50" w:name="_Toc25121"/>
            <w:r>
              <w:rPr>
                <w:rFonts w:hint="eastAsia" w:ascii="仿宋" w:hAnsi="仿宋" w:eastAsia="仿宋"/>
              </w:rPr>
              <w:t>序号</w:t>
            </w:r>
          </w:p>
        </w:tc>
        <w:tc>
          <w:tcPr>
            <w:tcW w:w="1364" w:type="dxa"/>
            <w:tcBorders>
              <w:top w:val="single" w:color="000000" w:sz="4" w:space="0"/>
              <w:left w:val="single" w:color="000000" w:sz="4" w:space="0"/>
              <w:bottom w:val="single" w:color="000000" w:sz="4" w:space="0"/>
              <w:right w:val="single" w:color="000000" w:sz="4" w:space="0"/>
            </w:tcBorders>
          </w:tcPr>
          <w:p>
            <w:pPr>
              <w:pStyle w:val="40"/>
              <w:tabs>
                <w:tab w:val="left" w:pos="488"/>
              </w:tabs>
              <w:kinsoku w:val="0"/>
              <w:overflowPunct w:val="0"/>
              <w:spacing w:before="2" w:line="289" w:lineRule="exact"/>
              <w:ind w:left="8"/>
              <w:jc w:val="center"/>
              <w:rPr>
                <w:rFonts w:ascii="仿宋" w:hAnsi="仿宋" w:eastAsia="仿宋"/>
              </w:rPr>
            </w:pPr>
            <w:r>
              <w:rPr>
                <w:rFonts w:hint="eastAsia" w:ascii="仿宋" w:hAnsi="仿宋" w:eastAsia="仿宋"/>
              </w:rPr>
              <w:t>名</w:t>
            </w:r>
            <w:r>
              <w:rPr>
                <w:rFonts w:ascii="仿宋" w:hAnsi="仿宋" w:eastAsia="仿宋"/>
              </w:rPr>
              <w:tab/>
            </w:r>
            <w:r>
              <w:rPr>
                <w:rFonts w:hint="eastAsia" w:ascii="仿宋" w:hAnsi="仿宋" w:eastAsia="仿宋"/>
              </w:rPr>
              <w:t>称</w:t>
            </w:r>
          </w:p>
        </w:tc>
        <w:tc>
          <w:tcPr>
            <w:tcW w:w="6574" w:type="dxa"/>
            <w:tcBorders>
              <w:top w:val="single" w:color="000000" w:sz="4" w:space="0"/>
              <w:left w:val="single" w:color="000000" w:sz="4" w:space="0"/>
              <w:bottom w:val="single" w:color="000000" w:sz="4" w:space="0"/>
              <w:right w:val="single" w:color="000000" w:sz="4" w:space="0"/>
            </w:tcBorders>
          </w:tcPr>
          <w:p>
            <w:pPr>
              <w:pStyle w:val="40"/>
              <w:tabs>
                <w:tab w:val="left" w:pos="489"/>
              </w:tabs>
              <w:kinsoku w:val="0"/>
              <w:overflowPunct w:val="0"/>
              <w:spacing w:before="2" w:line="289" w:lineRule="exact"/>
              <w:ind w:left="9"/>
              <w:jc w:val="center"/>
              <w:rPr>
                <w:rFonts w:ascii="仿宋" w:hAnsi="仿宋" w:eastAsia="仿宋"/>
              </w:rPr>
            </w:pPr>
            <w:r>
              <w:rPr>
                <w:rFonts w:hint="eastAsia" w:ascii="仿宋" w:hAnsi="仿宋" w:eastAsia="仿宋"/>
              </w:rPr>
              <w:t>内</w:t>
            </w:r>
            <w:r>
              <w:rPr>
                <w:rFonts w:ascii="仿宋" w:hAnsi="仿宋" w:eastAsia="仿宋"/>
              </w:rPr>
              <w:tab/>
            </w:r>
            <w:r>
              <w:rPr>
                <w:rFonts w:hint="eastAsia" w:ascii="仿宋" w:hAnsi="仿宋" w:eastAsia="仿宋"/>
              </w:rPr>
              <w:t>容</w:t>
            </w:r>
          </w:p>
        </w:tc>
      </w:tr>
      <w:tr>
        <w:tblPrEx>
          <w:tblLayout w:type="fixed"/>
          <w:tblCellMar>
            <w:top w:w="0" w:type="dxa"/>
            <w:left w:w="0" w:type="dxa"/>
            <w:bottom w:w="0" w:type="dxa"/>
            <w:right w:w="0" w:type="dxa"/>
          </w:tblCellMar>
        </w:tblPrEx>
        <w:trPr>
          <w:trHeight w:val="1052"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采购人</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名称：平顶山市中医医院</w:t>
            </w:r>
          </w:p>
          <w:p>
            <w:pPr>
              <w:jc w:val="left"/>
              <w:rPr>
                <w:rFonts w:ascii="仿宋" w:hAnsi="仿宋" w:eastAsia="仿宋" w:cs="宋体"/>
                <w:sz w:val="24"/>
              </w:rPr>
            </w:pPr>
            <w:r>
              <w:rPr>
                <w:rFonts w:hint="eastAsia" w:ascii="仿宋" w:hAnsi="仿宋" w:eastAsia="仿宋" w:cs="宋体"/>
                <w:sz w:val="24"/>
              </w:rPr>
              <w:t>地址：平顶山市中兴路北段4号院　　　　　　　　　</w:t>
            </w:r>
          </w:p>
          <w:p>
            <w:pPr>
              <w:jc w:val="left"/>
              <w:rPr>
                <w:rFonts w:ascii="仿宋" w:hAnsi="仿宋" w:eastAsia="仿宋" w:cs="宋体"/>
                <w:sz w:val="24"/>
              </w:rPr>
            </w:pPr>
            <w:r>
              <w:rPr>
                <w:rFonts w:hint="eastAsia" w:ascii="仿宋" w:hAnsi="仿宋" w:eastAsia="仿宋" w:cs="宋体"/>
                <w:sz w:val="24"/>
              </w:rPr>
              <w:t>联系人：孟琳</w:t>
            </w:r>
          </w:p>
          <w:p>
            <w:pPr>
              <w:jc w:val="left"/>
              <w:rPr>
                <w:rFonts w:ascii="仿宋" w:hAnsi="仿宋" w:eastAsia="仿宋" w:cs="宋体"/>
                <w:sz w:val="24"/>
              </w:rPr>
            </w:pPr>
            <w:r>
              <w:rPr>
                <w:rFonts w:hint="eastAsia" w:ascii="仿宋" w:hAnsi="仿宋" w:eastAsia="仿宋" w:cs="宋体"/>
                <w:sz w:val="24"/>
              </w:rPr>
              <w:t>联系方式：0375-2972605　</w:t>
            </w:r>
          </w:p>
        </w:tc>
      </w:tr>
      <w:tr>
        <w:tblPrEx>
          <w:tblLayout w:type="fixed"/>
          <w:tblCellMar>
            <w:top w:w="0" w:type="dxa"/>
            <w:left w:w="0" w:type="dxa"/>
            <w:bottom w:w="0" w:type="dxa"/>
            <w:right w:w="0" w:type="dxa"/>
          </w:tblCellMar>
        </w:tblPrEx>
        <w:trPr>
          <w:trHeight w:val="136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采购代理机构</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名称：方大国际工程咨询股份有限公司　　　　　　　　　　　　</w:t>
            </w:r>
          </w:p>
          <w:p>
            <w:pPr>
              <w:jc w:val="left"/>
              <w:rPr>
                <w:rFonts w:ascii="仿宋" w:hAnsi="仿宋" w:eastAsia="仿宋" w:cs="宋体"/>
                <w:sz w:val="24"/>
              </w:rPr>
            </w:pPr>
            <w:r>
              <w:rPr>
                <w:rFonts w:hint="eastAsia" w:ascii="仿宋" w:hAnsi="仿宋" w:eastAsia="仿宋" w:cs="宋体"/>
                <w:sz w:val="24"/>
              </w:rPr>
              <w:t>地址：郑州市郑东新区康宁街与普济路交会处德威广场12层</w:t>
            </w:r>
          </w:p>
          <w:p>
            <w:pPr>
              <w:jc w:val="left"/>
              <w:rPr>
                <w:rFonts w:ascii="仿宋" w:hAnsi="仿宋" w:eastAsia="仿宋" w:cs="宋体"/>
                <w:sz w:val="24"/>
              </w:rPr>
            </w:pPr>
            <w:r>
              <w:rPr>
                <w:rFonts w:hint="eastAsia" w:ascii="仿宋" w:hAnsi="仿宋" w:eastAsia="仿宋" w:cs="宋体"/>
                <w:sz w:val="24"/>
              </w:rPr>
              <w:t>联系人：金广涛　　　　　　　　　　　</w:t>
            </w:r>
          </w:p>
          <w:p>
            <w:pPr>
              <w:jc w:val="left"/>
              <w:rPr>
                <w:rFonts w:ascii="仿宋" w:hAnsi="仿宋" w:eastAsia="仿宋" w:cs="宋体"/>
                <w:sz w:val="24"/>
              </w:rPr>
            </w:pPr>
            <w:r>
              <w:rPr>
                <w:rFonts w:hint="eastAsia" w:ascii="仿宋" w:hAnsi="仿宋" w:eastAsia="仿宋" w:cs="宋体"/>
                <w:sz w:val="24"/>
              </w:rPr>
              <w:t>联系方式：13323756823　</w:t>
            </w:r>
          </w:p>
          <w:p>
            <w:pPr>
              <w:jc w:val="left"/>
              <w:rPr>
                <w:rFonts w:ascii="仿宋" w:hAnsi="仿宋" w:eastAsia="仿宋" w:cs="宋体"/>
                <w:sz w:val="24"/>
              </w:rPr>
            </w:pPr>
            <w:r>
              <w:rPr>
                <w:rFonts w:hint="eastAsia" w:ascii="仿宋" w:hAnsi="仿宋" w:eastAsia="仿宋" w:cs="宋体"/>
                <w:sz w:val="24"/>
              </w:rPr>
              <w:t>邮箱：pingdingshanfd@163.com</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3</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项目名称</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宋体"/>
                <w:sz w:val="24"/>
                <w:lang w:eastAsia="zh-CN"/>
              </w:rPr>
            </w:pPr>
            <w:r>
              <w:rPr>
                <w:rFonts w:hint="eastAsia" w:ascii="仿宋" w:hAnsi="仿宋" w:eastAsia="仿宋" w:cs="宋体"/>
                <w:sz w:val="24"/>
                <w:szCs w:val="22"/>
                <w:lang w:eastAsia="zh-CN"/>
              </w:rPr>
              <w:t>平顶山市中医医院中医药传承创新大楼（三号病房楼）建设项目全过程造价咨询服务</w:t>
            </w:r>
          </w:p>
        </w:tc>
      </w:tr>
      <w:tr>
        <w:tblPrEx>
          <w:tblLayout w:type="fixed"/>
          <w:tblCellMar>
            <w:top w:w="0" w:type="dxa"/>
            <w:left w:w="0" w:type="dxa"/>
            <w:bottom w:w="0" w:type="dxa"/>
            <w:right w:w="0" w:type="dxa"/>
          </w:tblCellMar>
        </w:tblPrEx>
        <w:trPr>
          <w:trHeight w:val="633"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4</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资金来源及落实情况</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财政资金，已落实</w:t>
            </w:r>
          </w:p>
        </w:tc>
      </w:tr>
      <w:tr>
        <w:tblPrEx>
          <w:tblLayout w:type="fixed"/>
          <w:tblCellMar>
            <w:top w:w="0" w:type="dxa"/>
            <w:left w:w="0" w:type="dxa"/>
            <w:bottom w:w="0" w:type="dxa"/>
            <w:right w:w="0" w:type="dxa"/>
          </w:tblCellMar>
        </w:tblPrEx>
        <w:trPr>
          <w:trHeight w:val="91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5</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采购内容</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宋体"/>
                <w:sz w:val="24"/>
                <w:lang w:eastAsia="zh-CN"/>
              </w:rPr>
            </w:pPr>
            <w:r>
              <w:rPr>
                <w:rFonts w:hint="eastAsia" w:ascii="仿宋" w:hAnsi="仿宋" w:eastAsia="仿宋"/>
                <w:sz w:val="24"/>
                <w:lang w:eastAsia="zh-CN"/>
              </w:rPr>
              <w:t>平顶山市中医医院中医药传承创新大楼（三号病房楼）建设项目全过程造价咨询服务</w:t>
            </w:r>
          </w:p>
        </w:tc>
      </w:tr>
      <w:tr>
        <w:tblPrEx>
          <w:tblLayout w:type="fixed"/>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6</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采购方式</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sz w:val="24"/>
              </w:rPr>
            </w:pPr>
            <w:r>
              <w:rPr>
                <w:rFonts w:hint="eastAsia" w:ascii="仿宋" w:hAnsi="仿宋" w:eastAsia="仿宋"/>
                <w:sz w:val="24"/>
              </w:rPr>
              <w:t>公开招标</w:t>
            </w:r>
          </w:p>
        </w:tc>
      </w:tr>
      <w:tr>
        <w:tblPrEx>
          <w:tblLayout w:type="fixed"/>
          <w:tblCellMar>
            <w:top w:w="0" w:type="dxa"/>
            <w:left w:w="0" w:type="dxa"/>
            <w:bottom w:w="0" w:type="dxa"/>
            <w:right w:w="0" w:type="dxa"/>
          </w:tblCellMar>
        </w:tblPrEx>
        <w:trPr>
          <w:trHeight w:val="55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7</w:t>
            </w:r>
          </w:p>
        </w:tc>
        <w:tc>
          <w:tcPr>
            <w:tcW w:w="136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hint="eastAsia" w:ascii="仿宋" w:hAnsi="仿宋" w:eastAsia="仿宋"/>
                <w:sz w:val="24"/>
              </w:rPr>
              <w:t>采购项目属性</w:t>
            </w:r>
          </w:p>
        </w:tc>
        <w:tc>
          <w:tcPr>
            <w:tcW w:w="65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4"/>
              </w:rPr>
            </w:pPr>
            <w:r>
              <w:rPr>
                <w:rFonts w:hint="eastAsia" w:ascii="仿宋" w:hAnsi="仿宋" w:eastAsia="仿宋"/>
                <w:sz w:val="24"/>
              </w:rPr>
              <w:t xml:space="preserve">□货物       </w:t>
            </w:r>
            <w:r>
              <w:rPr>
                <w:rFonts w:ascii="仿宋" w:hAnsi="仿宋" w:eastAsia="仿宋" w:cs="宋体"/>
                <w:sz w:val="24"/>
              </w:rPr>
              <w:fldChar w:fldCharType="begin"/>
            </w:r>
            <w:r>
              <w:rPr>
                <w:rFonts w:ascii="仿宋" w:hAnsi="仿宋" w:eastAsia="仿宋" w:cs="宋体"/>
                <w:sz w:val="24"/>
              </w:rPr>
              <w:instrText xml:space="preserve"> </w:instrText>
            </w:r>
            <w:r>
              <w:rPr>
                <w:rFonts w:hint="eastAsia" w:ascii="仿宋" w:hAnsi="仿宋" w:eastAsia="仿宋" w:cs="宋体"/>
                <w:sz w:val="24"/>
              </w:rPr>
              <w:instrText xml:space="preserve">eq \o\ac(□,</w:instrText>
            </w:r>
            <w:r>
              <w:rPr>
                <w:rFonts w:hint="eastAsia" w:ascii="仿宋" w:hAnsi="仿宋" w:eastAsia="仿宋" w:cs="宋体"/>
                <w:position w:val="2"/>
                <w:sz w:val="16"/>
              </w:rPr>
              <w:instrText xml:space="preserve">√</w:instrText>
            </w:r>
            <w:r>
              <w:rPr>
                <w:rFonts w:hint="eastAsia" w:ascii="仿宋" w:hAnsi="仿宋" w:eastAsia="仿宋" w:cs="宋体"/>
                <w:sz w:val="24"/>
              </w:rPr>
              <w:instrText xml:space="preserve">)</w:instrText>
            </w:r>
            <w:r>
              <w:rPr>
                <w:rFonts w:ascii="仿宋" w:hAnsi="仿宋" w:eastAsia="仿宋" w:cs="宋体"/>
                <w:sz w:val="24"/>
              </w:rPr>
              <w:fldChar w:fldCharType="end"/>
            </w:r>
            <w:r>
              <w:rPr>
                <w:rFonts w:hint="eastAsia" w:ascii="仿宋" w:hAnsi="仿宋" w:eastAsia="仿宋"/>
                <w:sz w:val="24"/>
              </w:rPr>
              <w:t>服务       □工程</w:t>
            </w:r>
          </w:p>
        </w:tc>
      </w:tr>
      <w:tr>
        <w:tblPrEx>
          <w:tblLayout w:type="fixed"/>
          <w:tblCellMar>
            <w:top w:w="0" w:type="dxa"/>
            <w:left w:w="0" w:type="dxa"/>
            <w:bottom w:w="0" w:type="dxa"/>
            <w:right w:w="0" w:type="dxa"/>
          </w:tblCellMar>
        </w:tblPrEx>
        <w:trPr>
          <w:trHeight w:val="453"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8</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sz w:val="24"/>
              </w:rPr>
              <w:t>合同履行期限</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szCs w:val="22"/>
              </w:rPr>
              <w:t>自合同签订之日起至项目工程竣工结算审核结束。</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9</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服务期限</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szCs w:val="22"/>
              </w:rPr>
              <w:t>自合同签订之日起至项目工程竣工结算审核结束。</w:t>
            </w:r>
          </w:p>
        </w:tc>
      </w:tr>
      <w:tr>
        <w:tblPrEx>
          <w:tblLayout w:type="fixed"/>
          <w:tblCellMar>
            <w:top w:w="0" w:type="dxa"/>
            <w:left w:w="0" w:type="dxa"/>
            <w:bottom w:w="0" w:type="dxa"/>
            <w:right w:w="0" w:type="dxa"/>
          </w:tblCellMar>
        </w:tblPrEx>
        <w:trPr>
          <w:trHeight w:val="46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10</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项目地点</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平顶山市城乡一体化示范区，南临滍阳路，北临复兴路，</w:t>
            </w:r>
          </w:p>
          <w:p>
            <w:pPr>
              <w:jc w:val="left"/>
              <w:rPr>
                <w:rFonts w:ascii="仿宋" w:hAnsi="仿宋" w:eastAsia="仿宋" w:cs="宋体"/>
                <w:sz w:val="24"/>
              </w:rPr>
            </w:pPr>
            <w:r>
              <w:rPr>
                <w:rFonts w:hint="eastAsia" w:ascii="仿宋" w:hAnsi="仿宋" w:eastAsia="仿宋" w:cs="宋体"/>
                <w:sz w:val="24"/>
              </w:rPr>
              <w:t>西临翠竹路，市中医医院新城区分院院内</w:t>
            </w:r>
          </w:p>
        </w:tc>
      </w:tr>
      <w:tr>
        <w:tblPrEx>
          <w:tblLayout w:type="fixed"/>
          <w:tblCellMar>
            <w:top w:w="0" w:type="dxa"/>
            <w:left w:w="0" w:type="dxa"/>
            <w:bottom w:w="0" w:type="dxa"/>
            <w:right w:w="0" w:type="dxa"/>
          </w:tblCellMar>
        </w:tblPrEx>
        <w:trPr>
          <w:trHeight w:val="46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11</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服务要求</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sz w:val="24"/>
              </w:rPr>
              <w:t>符合国家相关行业标准及采购人要求</w:t>
            </w:r>
          </w:p>
        </w:tc>
      </w:tr>
      <w:tr>
        <w:tblPrEx>
          <w:tblLayout w:type="fixed"/>
          <w:tblCellMar>
            <w:top w:w="0" w:type="dxa"/>
            <w:left w:w="0" w:type="dxa"/>
            <w:bottom w:w="0" w:type="dxa"/>
            <w:right w:w="0" w:type="dxa"/>
          </w:tblCellMar>
        </w:tblPrEx>
        <w:trPr>
          <w:trHeight w:val="41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12</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投标人资格要求</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bCs/>
                <w:sz w:val="24"/>
              </w:rPr>
              <w:t>详见招标公告</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13</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是否接受联合体</w:t>
            </w:r>
          </w:p>
          <w:p>
            <w:pPr>
              <w:jc w:val="center"/>
              <w:rPr>
                <w:rFonts w:ascii="仿宋" w:hAnsi="仿宋" w:eastAsia="仿宋" w:cs="宋体"/>
                <w:sz w:val="24"/>
              </w:rPr>
            </w:pPr>
            <w:r>
              <w:rPr>
                <w:rFonts w:hint="eastAsia" w:ascii="仿宋" w:hAnsi="仿宋" w:eastAsia="仿宋" w:cs="宋体"/>
                <w:sz w:val="24"/>
              </w:rPr>
              <w:t>投标</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☑不接受</w:t>
            </w:r>
          </w:p>
          <w:p>
            <w:pPr>
              <w:jc w:val="left"/>
              <w:rPr>
                <w:rFonts w:ascii="仿宋" w:hAnsi="仿宋" w:eastAsia="仿宋" w:cs="宋体"/>
                <w:sz w:val="24"/>
              </w:rPr>
            </w:pPr>
            <w:r>
              <w:rPr>
                <w:rFonts w:hint="eastAsia" w:ascii="仿宋" w:hAnsi="仿宋" w:eastAsia="仿宋" w:cs="宋体"/>
                <w:sz w:val="24"/>
              </w:rPr>
              <w:t>□接受</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14</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踏勘现场及答疑</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☑不组织</w:t>
            </w:r>
          </w:p>
          <w:p>
            <w:pPr>
              <w:jc w:val="left"/>
              <w:rPr>
                <w:rFonts w:ascii="仿宋" w:hAnsi="仿宋" w:eastAsia="仿宋" w:cs="宋体"/>
                <w:sz w:val="24"/>
              </w:rPr>
            </w:pPr>
            <w:r>
              <w:rPr>
                <w:rFonts w:hint="eastAsia" w:ascii="仿宋" w:hAnsi="仿宋" w:eastAsia="仿宋" w:cs="宋体"/>
                <w:sz w:val="24"/>
              </w:rPr>
              <w:t>□组织</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15</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投标预备会</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☑不召开</w:t>
            </w:r>
          </w:p>
          <w:p>
            <w:pPr>
              <w:jc w:val="left"/>
              <w:rPr>
                <w:rFonts w:ascii="仿宋" w:hAnsi="仿宋" w:eastAsia="仿宋" w:cs="宋体"/>
                <w:sz w:val="24"/>
              </w:rPr>
            </w:pPr>
            <w:r>
              <w:rPr>
                <w:rFonts w:hint="eastAsia" w:ascii="仿宋" w:hAnsi="仿宋" w:eastAsia="仿宋" w:cs="宋体"/>
                <w:sz w:val="24"/>
              </w:rPr>
              <w:t>□召开</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16</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技术偏离</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□不允许负偏差</w:t>
            </w:r>
          </w:p>
          <w:p>
            <w:pPr>
              <w:jc w:val="left"/>
              <w:rPr>
                <w:rFonts w:ascii="仿宋" w:hAnsi="仿宋" w:eastAsia="仿宋" w:cs="宋体"/>
                <w:sz w:val="24"/>
              </w:rPr>
            </w:pPr>
            <w:r>
              <w:rPr>
                <w:rFonts w:hint="eastAsia" w:ascii="仿宋" w:hAnsi="仿宋" w:eastAsia="仿宋" w:cs="宋体"/>
                <w:sz w:val="24"/>
              </w:rPr>
              <w:t>☑允许</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17</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构成招标文件的</w:t>
            </w:r>
          </w:p>
          <w:p>
            <w:pPr>
              <w:jc w:val="center"/>
              <w:rPr>
                <w:rFonts w:ascii="仿宋" w:hAnsi="仿宋" w:eastAsia="仿宋" w:cs="宋体"/>
                <w:sz w:val="24"/>
              </w:rPr>
            </w:pPr>
            <w:r>
              <w:rPr>
                <w:rFonts w:hint="eastAsia" w:ascii="仿宋" w:hAnsi="仿宋" w:eastAsia="仿宋" w:cs="宋体"/>
                <w:sz w:val="24"/>
              </w:rPr>
              <w:t>其他材料</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与本项目有关的解答、澄清、修改与补充等</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18</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投标人要求澄清招标文件的截止时间</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按招标文件规定的投标文件截止前</w:t>
            </w:r>
            <w:r>
              <w:rPr>
                <w:rFonts w:ascii="仿宋" w:hAnsi="仿宋" w:eastAsia="仿宋" w:cs="宋体"/>
                <w:sz w:val="24"/>
              </w:rPr>
              <w:t xml:space="preserve"> 1</w:t>
            </w:r>
            <w:r>
              <w:rPr>
                <w:rFonts w:hint="eastAsia" w:ascii="仿宋" w:hAnsi="仿宋" w:eastAsia="仿宋" w:cs="宋体"/>
                <w:sz w:val="24"/>
              </w:rPr>
              <w:t>5</w:t>
            </w:r>
            <w:r>
              <w:rPr>
                <w:rFonts w:ascii="仿宋" w:hAnsi="仿宋" w:eastAsia="仿宋" w:cs="宋体"/>
                <w:sz w:val="24"/>
              </w:rPr>
              <w:t xml:space="preserve"> </w:t>
            </w:r>
            <w:r>
              <w:rPr>
                <w:rFonts w:hint="eastAsia" w:ascii="仿宋" w:hAnsi="仿宋" w:eastAsia="仿宋" w:cs="宋体"/>
                <w:sz w:val="24"/>
              </w:rPr>
              <w:t>日前</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19</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投标截止时间</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sz w:val="24"/>
              </w:rPr>
              <w:t>2022年</w:t>
            </w:r>
            <w:r>
              <w:rPr>
                <w:rFonts w:hint="eastAsia" w:ascii="仿宋" w:hAnsi="仿宋" w:eastAsia="仿宋"/>
                <w:sz w:val="24"/>
                <w:lang w:val="en-US" w:eastAsia="zh-CN"/>
              </w:rPr>
              <w:t>12</w:t>
            </w:r>
            <w:r>
              <w:rPr>
                <w:rFonts w:hint="eastAsia" w:ascii="仿宋" w:hAnsi="仿宋" w:eastAsia="仿宋"/>
                <w:sz w:val="24"/>
              </w:rPr>
              <w:t>月</w:t>
            </w:r>
            <w:r>
              <w:rPr>
                <w:rFonts w:hint="eastAsia" w:ascii="仿宋" w:hAnsi="仿宋" w:eastAsia="仿宋"/>
                <w:sz w:val="24"/>
                <w:lang w:val="en-US" w:eastAsia="zh-CN"/>
              </w:rPr>
              <w:t>1</w:t>
            </w:r>
            <w:r>
              <w:rPr>
                <w:rFonts w:hint="eastAsia" w:ascii="仿宋" w:hAnsi="仿宋" w:eastAsia="仿宋"/>
                <w:sz w:val="24"/>
              </w:rPr>
              <w:t>日</w:t>
            </w:r>
            <w:r>
              <w:rPr>
                <w:rFonts w:hint="eastAsia" w:ascii="仿宋" w:hAnsi="仿宋" w:eastAsia="仿宋"/>
                <w:sz w:val="24"/>
                <w:lang w:val="en-US" w:eastAsia="zh-CN"/>
              </w:rPr>
              <w:t>9</w:t>
            </w:r>
            <w:r>
              <w:rPr>
                <w:rFonts w:hint="eastAsia" w:ascii="仿宋" w:hAnsi="仿宋" w:eastAsia="仿宋"/>
                <w:sz w:val="24"/>
              </w:rPr>
              <w:t>时</w:t>
            </w:r>
            <w:r>
              <w:rPr>
                <w:rFonts w:hint="eastAsia" w:ascii="仿宋" w:hAnsi="仿宋" w:eastAsia="仿宋"/>
                <w:sz w:val="24"/>
                <w:lang w:val="en-US" w:eastAsia="zh-CN"/>
              </w:rPr>
              <w:t>40</w:t>
            </w:r>
            <w:r>
              <w:rPr>
                <w:rFonts w:hint="eastAsia" w:ascii="仿宋" w:hAnsi="仿宋" w:eastAsia="仿宋"/>
                <w:sz w:val="24"/>
              </w:rPr>
              <w:t>分</w:t>
            </w:r>
            <w:r>
              <w:rPr>
                <w:rFonts w:hint="eastAsia" w:ascii="仿宋" w:hAnsi="仿宋" w:eastAsia="仿宋" w:cs="宋体"/>
                <w:sz w:val="24"/>
              </w:rPr>
              <w:t>（北京时间）</w:t>
            </w:r>
          </w:p>
          <w:p>
            <w:pPr>
              <w:jc w:val="left"/>
              <w:rPr>
                <w:rFonts w:ascii="仿宋" w:hAnsi="仿宋" w:eastAsia="仿宋" w:cs="宋体"/>
                <w:sz w:val="24"/>
              </w:rPr>
            </w:pPr>
            <w:r>
              <w:rPr>
                <w:rFonts w:hint="eastAsia" w:ascii="仿宋" w:hAnsi="仿宋" w:eastAsia="仿宋" w:cs="宋体"/>
                <w:sz w:val="24"/>
              </w:rPr>
              <w:t>注：全面实行在线“不见面”开标，投标人远程在线解密投标文件，不再到开标现场，投标人开标前应仔细阅读《“不见面”开标注意事项及操作流程》。</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20</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投标文件电子版</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加密版投标文件1份（.file格式），并按规定进行上传。</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21</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投标有效期</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sz w:val="24"/>
              </w:rPr>
              <w:t>投标截止之日起60个日历天</w:t>
            </w:r>
          </w:p>
        </w:tc>
      </w:tr>
      <w:tr>
        <w:tblPrEx>
          <w:tblLayout w:type="fixed"/>
          <w:tblCellMar>
            <w:top w:w="0" w:type="dxa"/>
            <w:left w:w="0" w:type="dxa"/>
            <w:bottom w:w="0" w:type="dxa"/>
            <w:right w:w="0" w:type="dxa"/>
          </w:tblCellMar>
        </w:tblPrEx>
        <w:trPr>
          <w:trHeight w:val="349" w:hRule="atLeast"/>
        </w:trPr>
        <w:tc>
          <w:tcPr>
            <w:tcW w:w="858"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22</w:t>
            </w:r>
          </w:p>
        </w:tc>
        <w:tc>
          <w:tcPr>
            <w:tcW w:w="136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投标保证金</w:t>
            </w:r>
          </w:p>
        </w:tc>
        <w:tc>
          <w:tcPr>
            <w:tcW w:w="657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pPr>
              <w:jc w:val="center"/>
              <w:rPr>
                <w:rFonts w:ascii="仿宋" w:hAnsi="仿宋" w:eastAsia="仿宋" w:cs="宋体"/>
                <w:sz w:val="24"/>
              </w:rPr>
            </w:pPr>
          </w:p>
        </w:tc>
        <w:tc>
          <w:tcPr>
            <w:tcW w:w="136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履约保证金</w:t>
            </w:r>
          </w:p>
        </w:tc>
        <w:tc>
          <w:tcPr>
            <w:tcW w:w="657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right w:val="single" w:color="000000" w:sz="4" w:space="0"/>
            </w:tcBorders>
            <w:vAlign w:val="center"/>
          </w:tcPr>
          <w:p>
            <w:pPr>
              <w:jc w:val="center"/>
              <w:rPr>
                <w:rFonts w:ascii="仿宋" w:hAnsi="仿宋" w:eastAsia="仿宋" w:cs="宋体"/>
                <w:sz w:val="24"/>
              </w:rPr>
            </w:pPr>
          </w:p>
        </w:tc>
        <w:tc>
          <w:tcPr>
            <w:tcW w:w="136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质量保证金</w:t>
            </w:r>
          </w:p>
        </w:tc>
        <w:tc>
          <w:tcPr>
            <w:tcW w:w="657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不收取</w:t>
            </w:r>
          </w:p>
        </w:tc>
      </w:tr>
      <w:tr>
        <w:tblPrEx>
          <w:tblLayout w:type="fixed"/>
          <w:tblCellMar>
            <w:top w:w="0" w:type="dxa"/>
            <w:left w:w="0" w:type="dxa"/>
            <w:bottom w:w="0" w:type="dxa"/>
            <w:right w:w="0" w:type="dxa"/>
          </w:tblCellMar>
        </w:tblPrEx>
        <w:trPr>
          <w:trHeight w:val="349" w:hRule="atLeast"/>
        </w:trPr>
        <w:tc>
          <w:tcPr>
            <w:tcW w:w="858"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宋体"/>
                <w:sz w:val="24"/>
              </w:rPr>
            </w:pPr>
          </w:p>
        </w:tc>
        <w:tc>
          <w:tcPr>
            <w:tcW w:w="136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招标文件费用</w:t>
            </w:r>
          </w:p>
        </w:tc>
        <w:tc>
          <w:tcPr>
            <w:tcW w:w="6574" w:type="dxa"/>
            <w:tcBorders>
              <w:top w:val="single" w:color="000000" w:sz="4" w:space="0"/>
              <w:left w:val="single" w:color="000000" w:sz="4" w:space="0"/>
              <w:bottom w:val="single" w:color="000000" w:sz="4" w:space="0"/>
              <w:right w:val="single" w:color="000000" w:sz="4" w:space="0"/>
            </w:tcBorders>
          </w:tcPr>
          <w:p>
            <w:pPr>
              <w:rPr>
                <w:rFonts w:ascii="仿宋" w:hAnsi="仿宋" w:eastAsia="仿宋"/>
                <w:sz w:val="24"/>
              </w:rPr>
            </w:pPr>
            <w:r>
              <w:rPr>
                <w:rFonts w:hint="eastAsia" w:ascii="仿宋" w:hAnsi="仿宋" w:eastAsia="仿宋"/>
                <w:sz w:val="24"/>
              </w:rPr>
              <w:t>不收取</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23</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签字或盖章要求</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投标文件应按招标文件要求加盖单位公章、签字、盖章。投标文件中的各类证书及企业相关证明资料复印件须加盖投标人电子印章。若被授权代理人签字或盖章的，投标文件中应附法定代表人有效授权委托书。</w:t>
            </w:r>
          </w:p>
        </w:tc>
      </w:tr>
      <w:tr>
        <w:tblPrEx>
          <w:tblLayout w:type="fixed"/>
          <w:tblCellMar>
            <w:top w:w="0" w:type="dxa"/>
            <w:left w:w="0" w:type="dxa"/>
            <w:bottom w:w="0" w:type="dxa"/>
            <w:right w:w="0" w:type="dxa"/>
          </w:tblCellMar>
        </w:tblPrEx>
        <w:trPr>
          <w:trHeight w:val="477"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24</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递交投标文件地点</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平顶山市公共资源交易中心电子交易系统</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25</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开标时间和地点</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开标时间：同投标截止时间；</w:t>
            </w:r>
          </w:p>
          <w:p>
            <w:pPr>
              <w:jc w:val="left"/>
              <w:rPr>
                <w:rFonts w:ascii="仿宋" w:hAnsi="仿宋" w:eastAsia="仿宋" w:cs="宋体"/>
                <w:sz w:val="24"/>
              </w:rPr>
            </w:pPr>
            <w:r>
              <w:rPr>
                <w:rFonts w:hint="eastAsia" w:ascii="仿宋" w:hAnsi="仿宋" w:eastAsia="仿宋" w:cs="宋体"/>
                <w:sz w:val="24"/>
              </w:rPr>
              <w:t>开标地点：平顶山市公共资源交易中心</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26</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开标程序</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1</w:t>
            </w:r>
            <w:r>
              <w:rPr>
                <w:rFonts w:hint="eastAsia" w:ascii="仿宋" w:hAnsi="仿宋" w:eastAsia="仿宋" w:cs="宋体"/>
                <w:sz w:val="24"/>
              </w:rPr>
              <w:t>）电子化投标文件采用双重加密方式。开标时，首先由投标人使用</w:t>
            </w:r>
            <w:r>
              <w:rPr>
                <w:rFonts w:ascii="仿宋" w:hAnsi="仿宋" w:eastAsia="仿宋" w:cs="宋体"/>
                <w:sz w:val="24"/>
              </w:rPr>
              <w:t xml:space="preserve"> CA </w:t>
            </w:r>
            <w:r>
              <w:rPr>
                <w:rFonts w:hint="eastAsia" w:ascii="仿宋" w:hAnsi="仿宋" w:eastAsia="仿宋" w:cs="宋体"/>
                <w:sz w:val="24"/>
              </w:rPr>
              <w:t>证书，在规定时间内对其电子化投标文件进行首次解密，投标人解密完成后，再由中介服务机构使用</w:t>
            </w:r>
            <w:r>
              <w:rPr>
                <w:rFonts w:ascii="仿宋" w:hAnsi="仿宋" w:eastAsia="仿宋" w:cs="宋体"/>
                <w:sz w:val="24"/>
              </w:rPr>
              <w:t xml:space="preserve"> CA </w:t>
            </w:r>
            <w:r>
              <w:rPr>
                <w:rFonts w:hint="eastAsia" w:ascii="仿宋" w:hAnsi="仿宋" w:eastAsia="仿宋" w:cs="宋体"/>
                <w:sz w:val="24"/>
              </w:rPr>
              <w:t>证书对投标文件进行再次解密。</w:t>
            </w:r>
          </w:p>
          <w:p>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2</w:t>
            </w:r>
            <w:r>
              <w:rPr>
                <w:rFonts w:hint="eastAsia" w:ascii="仿宋" w:hAnsi="仿宋" w:eastAsia="仿宋" w:cs="宋体"/>
                <w:sz w:val="24"/>
              </w:rPr>
              <w:t>）待所有投标人投标文件解密完成后，由中介服务机构操作，对所有已解密投标文件进行唱标。</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27</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评标委员会的组建</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评标委员会构成：由采购人代表及相关技术、经济专家</w:t>
            </w:r>
            <w:r>
              <w:rPr>
                <w:rFonts w:ascii="仿宋" w:hAnsi="仿宋" w:eastAsia="仿宋" w:cs="宋体"/>
                <w:sz w:val="24"/>
              </w:rPr>
              <w:t xml:space="preserve"> </w:t>
            </w:r>
            <w:r>
              <w:rPr>
                <w:rFonts w:hint="eastAsia" w:ascii="仿宋" w:hAnsi="仿宋" w:eastAsia="仿宋" w:cs="宋体"/>
                <w:sz w:val="24"/>
              </w:rPr>
              <w:t>5 人以上单数组成。</w:t>
            </w:r>
          </w:p>
          <w:p>
            <w:pPr>
              <w:jc w:val="left"/>
              <w:rPr>
                <w:rFonts w:ascii="仿宋" w:hAnsi="仿宋" w:eastAsia="仿宋" w:cs="宋体"/>
                <w:sz w:val="24"/>
              </w:rPr>
            </w:pPr>
            <w:r>
              <w:rPr>
                <w:rFonts w:hint="eastAsia" w:ascii="仿宋" w:hAnsi="仿宋" w:eastAsia="仿宋" w:cs="宋体"/>
                <w:sz w:val="24"/>
              </w:rPr>
              <w:t>评标专家确定方式</w:t>
            </w:r>
            <w:r>
              <w:rPr>
                <w:rFonts w:ascii="仿宋" w:hAnsi="仿宋" w:eastAsia="仿宋" w:cs="宋体"/>
                <w:sz w:val="24"/>
              </w:rPr>
              <w:t>:</w:t>
            </w:r>
            <w:r>
              <w:rPr>
                <w:rFonts w:hint="eastAsia" w:ascii="仿宋" w:hAnsi="仿宋" w:eastAsia="仿宋" w:cs="宋体"/>
                <w:sz w:val="24"/>
              </w:rPr>
              <w:t>由招标人从相关评标专家库中随机抽取。上述规定为一组评标专家组成方式，根据项目标段数量和评标工作量，可由多组专家完成评审，但一个标段只能由一组专家评审。</w:t>
            </w:r>
          </w:p>
        </w:tc>
      </w:tr>
      <w:tr>
        <w:tblPrEx>
          <w:tblLayout w:type="fixed"/>
          <w:tblCellMar>
            <w:top w:w="0" w:type="dxa"/>
            <w:left w:w="0" w:type="dxa"/>
            <w:bottom w:w="0" w:type="dxa"/>
            <w:right w:w="0" w:type="dxa"/>
          </w:tblCellMar>
        </w:tblPrEx>
        <w:trPr>
          <w:trHeight w:val="730"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28</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是否授权评标委会</w:t>
            </w:r>
          </w:p>
          <w:p>
            <w:pPr>
              <w:jc w:val="center"/>
              <w:rPr>
                <w:rFonts w:ascii="仿宋" w:hAnsi="仿宋" w:eastAsia="仿宋" w:cs="宋体"/>
                <w:sz w:val="24"/>
              </w:rPr>
            </w:pPr>
            <w:r>
              <w:rPr>
                <w:rFonts w:hint="eastAsia" w:ascii="仿宋" w:hAnsi="仿宋" w:eastAsia="仿宋" w:cs="宋体"/>
                <w:sz w:val="24"/>
              </w:rPr>
              <w:t>确定中标人</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否，由评标委员会按投标人最后得分高低推荐前1-3名为中标候选人。若排名第一的中标候选人放弃中标、因不可抗力提出不能履行合同，招标人可以确定第二中标候选人为中标人；依此类推。当所有中标候选人因上述原因不能签订合同的，招标人将依法重新招标。</w:t>
            </w:r>
          </w:p>
        </w:tc>
      </w:tr>
      <w:tr>
        <w:tblPrEx>
          <w:tblLayout w:type="fixed"/>
          <w:tblCellMar>
            <w:top w:w="0" w:type="dxa"/>
            <w:left w:w="0" w:type="dxa"/>
            <w:bottom w:w="0" w:type="dxa"/>
            <w:right w:w="0" w:type="dxa"/>
          </w:tblCellMar>
        </w:tblPrEx>
        <w:trPr>
          <w:trHeight w:val="431"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29</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接收质疑函的方式和联系方式</w:t>
            </w:r>
          </w:p>
        </w:tc>
        <w:tc>
          <w:tcPr>
            <w:tcW w:w="657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sz w:val="24"/>
              </w:rPr>
            </w:pPr>
            <w:r>
              <w:rPr>
                <w:rFonts w:hint="eastAsia" w:ascii="仿宋" w:hAnsi="仿宋" w:eastAsia="仿宋" w:cs="宋体"/>
                <w:sz w:val="24"/>
              </w:rPr>
              <w:t>质疑函应在平顶山市公共资源交易系统中接收，质疑函的格式和内容应当符合相关法律法规的要求。联系方式如下：</w:t>
            </w:r>
          </w:p>
          <w:p>
            <w:pPr>
              <w:rPr>
                <w:rFonts w:ascii="仿宋" w:hAnsi="仿宋" w:eastAsia="仿宋" w:cs="宋体"/>
                <w:sz w:val="24"/>
              </w:rPr>
            </w:pPr>
            <w:r>
              <w:rPr>
                <w:rFonts w:hint="eastAsia" w:ascii="仿宋" w:hAnsi="仿宋" w:eastAsia="仿宋" w:cs="宋体"/>
                <w:sz w:val="24"/>
              </w:rPr>
              <w:t>联系人：金广涛          联系电话：13323756823</w:t>
            </w:r>
          </w:p>
          <w:p>
            <w:pPr>
              <w:rPr>
                <w:rFonts w:ascii="仿宋" w:hAnsi="仿宋" w:eastAsia="仿宋" w:cs="宋体"/>
                <w:sz w:val="24"/>
              </w:rPr>
            </w:pPr>
            <w:r>
              <w:rPr>
                <w:rFonts w:hint="eastAsia" w:ascii="仿宋" w:hAnsi="仿宋" w:eastAsia="仿宋" w:cs="宋体"/>
                <w:sz w:val="24"/>
              </w:rPr>
              <w:t>对供应商提出的质疑，采购人、采购代理机构应当依法及时答复和处理，不得推诿扯皮故意刁难，须进行实质性回应。</w:t>
            </w:r>
          </w:p>
        </w:tc>
      </w:tr>
      <w:tr>
        <w:tblPrEx>
          <w:tblLayout w:type="fixed"/>
          <w:tblCellMar>
            <w:top w:w="0" w:type="dxa"/>
            <w:left w:w="0" w:type="dxa"/>
            <w:bottom w:w="0" w:type="dxa"/>
            <w:right w:w="0" w:type="dxa"/>
          </w:tblCellMar>
        </w:tblPrEx>
        <w:trPr>
          <w:trHeight w:val="691" w:hRule="atLeast"/>
        </w:trPr>
        <w:tc>
          <w:tcPr>
            <w:tcW w:w="858" w:type="dxa"/>
            <w:tcBorders>
              <w:top w:val="single" w:color="000000" w:sz="4" w:space="0"/>
              <w:left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30</w:t>
            </w:r>
          </w:p>
        </w:tc>
        <w:tc>
          <w:tcPr>
            <w:tcW w:w="1364" w:type="dxa"/>
            <w:tcBorders>
              <w:top w:val="single" w:color="000000" w:sz="4" w:space="0"/>
              <w:left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最高投标限价</w:t>
            </w:r>
          </w:p>
        </w:tc>
        <w:tc>
          <w:tcPr>
            <w:tcW w:w="6574" w:type="dxa"/>
            <w:tcBorders>
              <w:top w:val="single" w:color="000000" w:sz="4" w:space="0"/>
              <w:left w:val="single" w:color="000000" w:sz="4" w:space="0"/>
              <w:right w:val="single" w:color="000000" w:sz="4" w:space="0"/>
            </w:tcBorders>
            <w:vAlign w:val="center"/>
          </w:tcPr>
          <w:p>
            <w:pPr>
              <w:rPr>
                <w:rFonts w:ascii="仿宋" w:hAnsi="仿宋" w:eastAsia="仿宋"/>
                <w:sz w:val="24"/>
              </w:rPr>
            </w:pPr>
            <w:r>
              <w:rPr>
                <w:rFonts w:hint="eastAsia" w:ascii="仿宋" w:hAnsi="仿宋" w:eastAsia="仿宋"/>
                <w:sz w:val="24"/>
              </w:rPr>
              <w:t>最高限价：1100000 元</w:t>
            </w:r>
          </w:p>
          <w:p>
            <w:pPr>
              <w:rPr>
                <w:rFonts w:ascii="仿宋" w:hAnsi="仿宋" w:eastAsia="仿宋"/>
                <w:sz w:val="24"/>
              </w:rPr>
            </w:pPr>
            <w:r>
              <w:rPr>
                <w:rFonts w:hint="eastAsia" w:ascii="仿宋" w:hAnsi="仿宋" w:eastAsia="仿宋"/>
                <w:sz w:val="24"/>
              </w:rPr>
              <w:t>注：超出最高限价按废标处理。</w:t>
            </w:r>
          </w:p>
        </w:tc>
      </w:tr>
      <w:tr>
        <w:tblPrEx>
          <w:tblLayout w:type="fixed"/>
          <w:tblCellMar>
            <w:top w:w="0" w:type="dxa"/>
            <w:left w:w="0" w:type="dxa"/>
            <w:bottom w:w="0" w:type="dxa"/>
            <w:right w:w="0" w:type="dxa"/>
          </w:tblCellMar>
        </w:tblPrEx>
        <w:trPr>
          <w:trHeight w:val="266"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31</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ascii="仿宋" w:hAnsi="仿宋" w:eastAsia="仿宋" w:cs="宋体"/>
                <w:sz w:val="24"/>
              </w:rPr>
              <w:t>招标代理服务费</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宋体"/>
                <w:sz w:val="24"/>
              </w:rPr>
            </w:pPr>
            <w:r>
              <w:rPr>
                <w:rFonts w:hint="eastAsia" w:ascii="仿宋" w:hAnsi="仿宋" w:eastAsia="仿宋" w:cs="宋体"/>
                <w:sz w:val="24"/>
              </w:rPr>
              <w:t>招标代理费参照发改价格【</w:t>
            </w:r>
            <w:r>
              <w:rPr>
                <w:rFonts w:ascii="仿宋" w:hAnsi="仿宋" w:eastAsia="仿宋" w:cs="宋体"/>
                <w:sz w:val="24"/>
              </w:rPr>
              <w:t>2015</w:t>
            </w:r>
            <w:r>
              <w:rPr>
                <w:rFonts w:hint="eastAsia" w:ascii="仿宋" w:hAnsi="仿宋" w:eastAsia="仿宋" w:cs="宋体"/>
                <w:sz w:val="24"/>
              </w:rPr>
              <w:t>】</w:t>
            </w:r>
            <w:r>
              <w:rPr>
                <w:rFonts w:ascii="仿宋" w:hAnsi="仿宋" w:eastAsia="仿宋" w:cs="宋体"/>
                <w:sz w:val="24"/>
              </w:rPr>
              <w:t xml:space="preserve">299 </w:t>
            </w:r>
            <w:r>
              <w:rPr>
                <w:rFonts w:hint="eastAsia" w:ascii="仿宋" w:hAnsi="仿宋" w:eastAsia="仿宋" w:cs="宋体"/>
                <w:sz w:val="24"/>
              </w:rPr>
              <w:t>号文件规定的代理服务费收费标准及发改办价格【</w:t>
            </w:r>
            <w:r>
              <w:rPr>
                <w:rFonts w:ascii="仿宋" w:hAnsi="仿宋" w:eastAsia="仿宋" w:cs="宋体"/>
                <w:sz w:val="24"/>
              </w:rPr>
              <w:t>2003</w:t>
            </w:r>
            <w:r>
              <w:rPr>
                <w:rFonts w:hint="eastAsia" w:ascii="仿宋" w:hAnsi="仿宋" w:eastAsia="仿宋" w:cs="宋体"/>
                <w:sz w:val="24"/>
              </w:rPr>
              <w:t>】</w:t>
            </w:r>
            <w:r>
              <w:rPr>
                <w:rFonts w:ascii="仿宋" w:hAnsi="仿宋" w:eastAsia="仿宋" w:cs="宋体"/>
                <w:sz w:val="24"/>
              </w:rPr>
              <w:t xml:space="preserve">857 </w:t>
            </w:r>
            <w:r>
              <w:rPr>
                <w:rFonts w:hint="eastAsia" w:ascii="仿宋" w:hAnsi="仿宋" w:eastAsia="仿宋" w:cs="宋体"/>
                <w:sz w:val="24"/>
              </w:rPr>
              <w:t>号文规定的支付方式向中标人收取，在中标人领取中标通知书时以现金方式或转账向采购代理机构缴纳。</w:t>
            </w:r>
          </w:p>
          <w:p>
            <w:pPr>
              <w:jc w:val="left"/>
              <w:rPr>
                <w:rFonts w:ascii="仿宋" w:hAnsi="仿宋" w:eastAsia="仿宋" w:cs="宋体"/>
                <w:sz w:val="24"/>
              </w:rPr>
            </w:pPr>
            <w:r>
              <w:rPr>
                <w:rFonts w:hint="eastAsia" w:ascii="仿宋" w:hAnsi="仿宋" w:eastAsia="仿宋" w:cs="宋体"/>
                <w:sz w:val="24"/>
              </w:rPr>
              <w:t>以中标价格为基数，本项目招标代理服务费按国家计价格【2002】1980号文及发改价格[2011]534号服务类标准一次性向方大国际工程咨询股份有限公司交纳招标服务费。</w:t>
            </w:r>
          </w:p>
          <w:p>
            <w:pPr>
              <w:jc w:val="left"/>
              <w:rPr>
                <w:rFonts w:ascii="仿宋" w:hAnsi="仿宋" w:eastAsia="仿宋" w:cs="宋体"/>
                <w:sz w:val="24"/>
              </w:rPr>
            </w:pPr>
            <w:r>
              <w:rPr>
                <w:rFonts w:hint="eastAsia" w:ascii="仿宋" w:hAnsi="仿宋" w:eastAsia="仿宋" w:cs="宋体"/>
                <w:sz w:val="24"/>
              </w:rPr>
              <w:t>此费用由投标人综合考虑到投标报价中，不再单独列项。</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32</w:t>
            </w:r>
          </w:p>
        </w:tc>
        <w:tc>
          <w:tcPr>
            <w:tcW w:w="136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付款方式</w:t>
            </w:r>
          </w:p>
        </w:tc>
        <w:tc>
          <w:tcPr>
            <w:tcW w:w="657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 w:hAnsi="仿宋" w:eastAsia="仿宋" w:cs="宋体"/>
                <w:sz w:val="24"/>
                <w:szCs w:val="22"/>
              </w:rPr>
            </w:pPr>
            <w:r>
              <w:rPr>
                <w:rFonts w:hint="eastAsia" w:ascii="仿宋" w:hAnsi="仿宋" w:eastAsia="仿宋" w:cs="宋体"/>
                <w:sz w:val="24"/>
                <w:szCs w:val="22"/>
              </w:rPr>
              <w:t>1、合同签订</w:t>
            </w:r>
            <w:r>
              <w:rPr>
                <w:rFonts w:hint="eastAsia" w:ascii="仿宋" w:hAnsi="仿宋" w:eastAsia="仿宋" w:cs="宋体"/>
                <w:sz w:val="24"/>
                <w:szCs w:val="22"/>
                <w:lang w:eastAsia="zh-CN"/>
              </w:rPr>
              <w:t>后</w:t>
            </w:r>
            <w:r>
              <w:rPr>
                <w:rFonts w:hint="eastAsia" w:ascii="仿宋" w:hAnsi="仿宋" w:eastAsia="仿宋" w:cs="宋体"/>
                <w:sz w:val="24"/>
                <w:szCs w:val="22"/>
              </w:rPr>
              <w:t>支付合同金额的30%预付款。</w:t>
            </w:r>
          </w:p>
          <w:p>
            <w:pPr>
              <w:jc w:val="left"/>
              <w:rPr>
                <w:rFonts w:hint="eastAsia" w:ascii="仿宋" w:hAnsi="仿宋" w:eastAsia="仿宋" w:cs="宋体"/>
                <w:sz w:val="24"/>
                <w:szCs w:val="22"/>
              </w:rPr>
            </w:pPr>
            <w:r>
              <w:rPr>
                <w:rFonts w:hint="eastAsia" w:ascii="仿宋" w:hAnsi="仿宋" w:eastAsia="仿宋" w:cs="宋体"/>
                <w:sz w:val="24"/>
                <w:szCs w:val="22"/>
                <w:lang w:val="en-US" w:eastAsia="zh-CN"/>
              </w:rPr>
              <w:t>2</w:t>
            </w:r>
            <w:r>
              <w:rPr>
                <w:rFonts w:hint="eastAsia" w:ascii="仿宋" w:hAnsi="仿宋" w:eastAsia="仿宋" w:cs="宋体"/>
                <w:sz w:val="24"/>
                <w:szCs w:val="22"/>
              </w:rPr>
              <w:t>、交付清单及控制价定稿</w:t>
            </w:r>
            <w:r>
              <w:rPr>
                <w:rFonts w:hint="eastAsia" w:ascii="仿宋" w:hAnsi="仿宋" w:eastAsia="仿宋" w:cs="宋体"/>
                <w:sz w:val="24"/>
                <w:szCs w:val="22"/>
                <w:lang w:eastAsia="zh-CN"/>
              </w:rPr>
              <w:t>后</w:t>
            </w:r>
            <w:r>
              <w:rPr>
                <w:rFonts w:hint="eastAsia" w:ascii="仿宋" w:hAnsi="仿宋" w:eastAsia="仿宋" w:cs="宋体"/>
                <w:sz w:val="24"/>
                <w:szCs w:val="22"/>
              </w:rPr>
              <w:t>支付合同金额的</w:t>
            </w:r>
            <w:r>
              <w:rPr>
                <w:rFonts w:hint="eastAsia" w:ascii="仿宋" w:hAnsi="仿宋" w:eastAsia="仿宋" w:cs="宋体"/>
                <w:sz w:val="24"/>
                <w:szCs w:val="22"/>
                <w:lang w:val="en-US" w:eastAsia="zh-CN"/>
              </w:rPr>
              <w:t>50</w:t>
            </w:r>
            <w:r>
              <w:rPr>
                <w:rFonts w:hint="eastAsia" w:ascii="仿宋" w:hAnsi="仿宋" w:eastAsia="仿宋" w:cs="宋体"/>
                <w:sz w:val="24"/>
                <w:szCs w:val="22"/>
              </w:rPr>
              <w:t>%</w:t>
            </w:r>
            <w:r>
              <w:rPr>
                <w:rFonts w:hint="eastAsia" w:ascii="仿宋" w:hAnsi="仿宋" w:eastAsia="仿宋" w:cs="宋体"/>
                <w:sz w:val="24"/>
                <w:szCs w:val="22"/>
                <w:lang w:val="en-US" w:eastAsia="zh-CN"/>
              </w:rPr>
              <w:t>的首付款</w:t>
            </w:r>
            <w:r>
              <w:rPr>
                <w:rFonts w:hint="eastAsia" w:ascii="仿宋" w:hAnsi="仿宋" w:eastAsia="仿宋" w:cs="宋体"/>
                <w:sz w:val="24"/>
                <w:szCs w:val="22"/>
              </w:rPr>
              <w:t>。</w:t>
            </w:r>
          </w:p>
          <w:p>
            <w:pPr>
              <w:jc w:val="left"/>
              <w:rPr>
                <w:rFonts w:hint="eastAsia" w:ascii="仿宋" w:hAnsi="仿宋" w:eastAsia="仿宋" w:cs="宋体"/>
                <w:sz w:val="24"/>
                <w:szCs w:val="22"/>
              </w:rPr>
            </w:pPr>
            <w:r>
              <w:rPr>
                <w:rFonts w:hint="eastAsia" w:ascii="仿宋" w:hAnsi="仿宋" w:eastAsia="仿宋" w:cs="宋体"/>
                <w:sz w:val="24"/>
                <w:szCs w:val="22"/>
                <w:lang w:val="en-US" w:eastAsia="zh-CN"/>
              </w:rPr>
              <w:t>3</w:t>
            </w:r>
            <w:r>
              <w:rPr>
                <w:rFonts w:hint="eastAsia" w:ascii="仿宋" w:hAnsi="仿宋" w:eastAsia="仿宋" w:cs="宋体"/>
                <w:sz w:val="24"/>
                <w:szCs w:val="22"/>
              </w:rPr>
              <w:t>、主体结构封顶</w:t>
            </w:r>
            <w:r>
              <w:rPr>
                <w:rFonts w:hint="eastAsia" w:ascii="仿宋" w:hAnsi="仿宋" w:eastAsia="仿宋" w:cs="宋体"/>
                <w:sz w:val="24"/>
                <w:szCs w:val="22"/>
                <w:lang w:eastAsia="zh-CN"/>
              </w:rPr>
              <w:t>后</w:t>
            </w:r>
            <w:r>
              <w:rPr>
                <w:rFonts w:hint="eastAsia" w:ascii="仿宋" w:hAnsi="仿宋" w:eastAsia="仿宋" w:cs="宋体"/>
                <w:sz w:val="24"/>
                <w:szCs w:val="22"/>
              </w:rPr>
              <w:t>支付合同金额的</w:t>
            </w:r>
            <w:r>
              <w:rPr>
                <w:rFonts w:hint="eastAsia" w:ascii="仿宋" w:hAnsi="仿宋" w:eastAsia="仿宋" w:cs="宋体"/>
                <w:sz w:val="24"/>
                <w:szCs w:val="22"/>
                <w:lang w:val="en-US" w:eastAsia="zh-CN"/>
              </w:rPr>
              <w:t>5</w:t>
            </w:r>
            <w:r>
              <w:rPr>
                <w:rFonts w:hint="eastAsia" w:ascii="仿宋" w:hAnsi="仿宋" w:eastAsia="仿宋" w:cs="宋体"/>
                <w:sz w:val="24"/>
                <w:szCs w:val="22"/>
              </w:rPr>
              <w:t>%。</w:t>
            </w:r>
          </w:p>
          <w:p>
            <w:pPr>
              <w:jc w:val="left"/>
              <w:rPr>
                <w:rFonts w:hint="eastAsia" w:ascii="仿宋" w:hAnsi="仿宋" w:eastAsia="仿宋" w:cs="宋体"/>
                <w:sz w:val="24"/>
                <w:szCs w:val="22"/>
              </w:rPr>
            </w:pPr>
            <w:r>
              <w:rPr>
                <w:rFonts w:hint="eastAsia" w:ascii="仿宋" w:hAnsi="仿宋" w:eastAsia="仿宋" w:cs="宋体"/>
                <w:sz w:val="24"/>
                <w:szCs w:val="22"/>
              </w:rPr>
              <w:t>4、工程竣工验收交付使用</w:t>
            </w:r>
            <w:r>
              <w:rPr>
                <w:rFonts w:hint="eastAsia" w:ascii="仿宋" w:hAnsi="仿宋" w:eastAsia="仿宋" w:cs="宋体"/>
                <w:sz w:val="24"/>
                <w:szCs w:val="22"/>
                <w:lang w:eastAsia="zh-CN"/>
              </w:rPr>
              <w:t>后</w:t>
            </w:r>
            <w:r>
              <w:rPr>
                <w:rFonts w:hint="eastAsia" w:ascii="仿宋" w:hAnsi="仿宋" w:eastAsia="仿宋" w:cs="宋体"/>
                <w:sz w:val="24"/>
                <w:szCs w:val="22"/>
              </w:rPr>
              <w:t>支付合同金额的</w:t>
            </w:r>
            <w:r>
              <w:rPr>
                <w:rFonts w:hint="eastAsia" w:ascii="仿宋" w:hAnsi="仿宋" w:eastAsia="仿宋" w:cs="宋体"/>
                <w:sz w:val="24"/>
                <w:szCs w:val="22"/>
                <w:lang w:val="en-US" w:eastAsia="zh-CN"/>
              </w:rPr>
              <w:t>5</w:t>
            </w:r>
            <w:r>
              <w:rPr>
                <w:rFonts w:hint="eastAsia" w:ascii="仿宋" w:hAnsi="仿宋" w:eastAsia="仿宋" w:cs="宋体"/>
                <w:sz w:val="24"/>
                <w:szCs w:val="22"/>
              </w:rPr>
              <w:t>%。</w:t>
            </w:r>
          </w:p>
          <w:p>
            <w:pPr>
              <w:jc w:val="left"/>
              <w:rPr>
                <w:rFonts w:ascii="仿宋" w:hAnsi="仿宋" w:eastAsia="仿宋" w:cs="宋体"/>
                <w:sz w:val="24"/>
              </w:rPr>
            </w:pPr>
            <w:r>
              <w:rPr>
                <w:rFonts w:hint="eastAsia" w:ascii="仿宋" w:hAnsi="仿宋" w:eastAsia="仿宋" w:cs="宋体"/>
                <w:sz w:val="24"/>
                <w:szCs w:val="22"/>
              </w:rPr>
              <w:t>5、工程竣工结算审计完毕</w:t>
            </w:r>
            <w:r>
              <w:rPr>
                <w:rFonts w:hint="eastAsia" w:ascii="仿宋" w:hAnsi="仿宋" w:eastAsia="仿宋" w:cs="宋体"/>
                <w:sz w:val="24"/>
                <w:szCs w:val="22"/>
                <w:lang w:eastAsia="zh-CN"/>
              </w:rPr>
              <w:t>后</w:t>
            </w:r>
            <w:r>
              <w:rPr>
                <w:rFonts w:hint="eastAsia" w:ascii="仿宋" w:hAnsi="仿宋" w:eastAsia="仿宋" w:cs="宋体"/>
                <w:sz w:val="24"/>
                <w:szCs w:val="22"/>
              </w:rPr>
              <w:t>支付合同金额的</w:t>
            </w:r>
            <w:r>
              <w:rPr>
                <w:rFonts w:hint="eastAsia" w:ascii="仿宋" w:hAnsi="仿宋" w:eastAsia="仿宋" w:cs="宋体"/>
                <w:sz w:val="24"/>
                <w:szCs w:val="22"/>
                <w:lang w:val="en-US" w:eastAsia="zh-CN"/>
              </w:rPr>
              <w:t>10</w:t>
            </w:r>
            <w:r>
              <w:rPr>
                <w:rFonts w:hint="eastAsia" w:ascii="仿宋" w:hAnsi="仿宋" w:eastAsia="仿宋" w:cs="宋体"/>
                <w:sz w:val="24"/>
                <w:szCs w:val="22"/>
              </w:rPr>
              <w:t>%。</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33</w:t>
            </w:r>
          </w:p>
        </w:tc>
        <w:tc>
          <w:tcPr>
            <w:tcW w:w="13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政采领域优化营商环境相关政策</w:t>
            </w:r>
          </w:p>
          <w:p>
            <w:pPr>
              <w:spacing w:line="360" w:lineRule="auto"/>
              <w:jc w:val="center"/>
              <w:rPr>
                <w:rFonts w:ascii="仿宋" w:hAnsi="仿宋" w:eastAsia="仿宋" w:cs="宋体"/>
                <w:sz w:val="24"/>
              </w:rPr>
            </w:pPr>
          </w:p>
        </w:tc>
        <w:tc>
          <w:tcPr>
            <w:tcW w:w="657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05" w:leftChars="50"/>
              <w:jc w:val="left"/>
              <w:rPr>
                <w:rFonts w:ascii="仿宋" w:hAnsi="仿宋" w:eastAsia="仿宋" w:cs="宋体"/>
                <w:b/>
                <w:sz w:val="24"/>
              </w:rPr>
            </w:pPr>
            <w:r>
              <w:rPr>
                <w:rFonts w:hint="eastAsia" w:ascii="仿宋" w:hAnsi="仿宋" w:eastAsia="仿宋" w:cs="宋体"/>
                <w:b/>
                <w:sz w:val="24"/>
              </w:rPr>
              <w:t>一、落实四个“一日办”精神：</w:t>
            </w:r>
          </w:p>
          <w:p>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按照《平顶山市财政局关于压减政府采购各环节时限 进一步优化政府采购营商环境的通知》（平财购〔2021〕34号）通知，落实四个“一日办”精神：</w:t>
            </w:r>
          </w:p>
          <w:p>
            <w:pPr>
              <w:spacing w:line="360" w:lineRule="auto"/>
              <w:ind w:left="105" w:leftChars="50"/>
              <w:jc w:val="left"/>
              <w:rPr>
                <w:rFonts w:ascii="仿宋" w:hAnsi="仿宋" w:eastAsia="仿宋" w:cs="宋体"/>
                <w:sz w:val="24"/>
              </w:rPr>
            </w:pPr>
            <w:r>
              <w:rPr>
                <w:rFonts w:hint="eastAsia" w:ascii="仿宋" w:hAnsi="仿宋" w:eastAsia="仿宋" w:cs="宋体"/>
                <w:sz w:val="24"/>
              </w:rPr>
              <w:t>（1）在评审结束后1日内确定采购结果，同时对中标单位发出中标或成交通知书，并在网上进行公告；</w:t>
            </w:r>
          </w:p>
          <w:p>
            <w:pPr>
              <w:spacing w:line="360" w:lineRule="auto"/>
              <w:ind w:left="105" w:leftChars="50"/>
              <w:jc w:val="left"/>
              <w:rPr>
                <w:rFonts w:ascii="仿宋" w:hAnsi="仿宋" w:eastAsia="仿宋" w:cs="宋体"/>
                <w:sz w:val="24"/>
              </w:rPr>
            </w:pPr>
            <w:r>
              <w:rPr>
                <w:rFonts w:hint="eastAsia" w:ascii="仿宋" w:hAnsi="仿宋" w:eastAsia="仿宋" w:cs="宋体"/>
                <w:sz w:val="24"/>
              </w:rPr>
              <w:t>（2）中标或成交通知书发出后，1日内与中标或成交供应商签订合同，合同签订当日完成合同备案工作；</w:t>
            </w:r>
          </w:p>
          <w:p>
            <w:pPr>
              <w:spacing w:line="360" w:lineRule="auto"/>
              <w:ind w:left="105" w:leftChars="50"/>
              <w:jc w:val="left"/>
              <w:rPr>
                <w:rFonts w:ascii="仿宋" w:hAnsi="仿宋" w:eastAsia="仿宋" w:cs="宋体"/>
                <w:sz w:val="24"/>
              </w:rPr>
            </w:pPr>
            <w:r>
              <w:rPr>
                <w:rFonts w:hint="eastAsia" w:ascii="仿宋" w:hAnsi="仿宋" w:eastAsia="仿宋" w:cs="宋体"/>
                <w:sz w:val="24"/>
              </w:rPr>
              <w:t>（3）政府采购项目供应商履约完成后，采购人应在供应商提出验收申请1个工作日内完成验收，同时在平顶山市政府采购网发布验收结果公告；</w:t>
            </w:r>
          </w:p>
          <w:p>
            <w:pPr>
              <w:spacing w:line="360" w:lineRule="auto"/>
              <w:ind w:left="105" w:leftChars="50"/>
              <w:jc w:val="left"/>
              <w:rPr>
                <w:rFonts w:ascii="仿宋" w:hAnsi="仿宋" w:eastAsia="仿宋" w:cs="宋体"/>
                <w:sz w:val="24"/>
              </w:rPr>
            </w:pPr>
            <w:r>
              <w:rPr>
                <w:rFonts w:hint="eastAsia" w:ascii="仿宋" w:hAnsi="仿宋" w:eastAsia="仿宋" w:cs="宋体"/>
                <w:sz w:val="24"/>
              </w:rPr>
              <w:t>（4）验收合格具备付款条件的项目，采购人要在1个工作日内按照合同约定支付项目资金。</w:t>
            </w:r>
          </w:p>
          <w:p>
            <w:pPr>
              <w:spacing w:line="360" w:lineRule="auto"/>
              <w:ind w:left="105" w:leftChars="50"/>
              <w:jc w:val="left"/>
              <w:rPr>
                <w:rFonts w:ascii="仿宋" w:hAnsi="仿宋" w:eastAsia="仿宋" w:cs="宋体"/>
                <w:sz w:val="24"/>
              </w:rPr>
            </w:pPr>
            <w:r>
              <w:rPr>
                <w:rFonts w:hint="eastAsia" w:ascii="仿宋" w:hAnsi="仿宋" w:eastAsia="仿宋" w:cs="宋体"/>
                <w:sz w:val="24"/>
              </w:rPr>
              <w:t>注：签合同需法定代表人携带本人身份证（如为授权委托人，则携带法定代表人授权委托书及本人身份证）、单位公章、合同纸质版本一式六份及合同电子版。</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二、维护企业在政府采购活动中的知情权</w:t>
            </w:r>
          </w:p>
          <w:p>
            <w:pPr>
              <w:spacing w:line="360" w:lineRule="auto"/>
              <w:ind w:left="105" w:leftChars="50" w:firstLine="240" w:firstLineChars="100"/>
              <w:jc w:val="left"/>
              <w:rPr>
                <w:rFonts w:ascii="仿宋" w:hAnsi="仿宋" w:eastAsia="仿宋" w:cs="宋体"/>
                <w:sz w:val="24"/>
              </w:rPr>
            </w:pPr>
            <w:r>
              <w:rPr>
                <w:rFonts w:hint="eastAsia" w:ascii="仿宋" w:hAnsi="仿宋" w:eastAsia="仿宋" w:cs="宋体"/>
                <w:sz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三、提供中小企业声明函格式</w:t>
            </w:r>
          </w:p>
          <w:p>
            <w:pPr>
              <w:pStyle w:val="9"/>
              <w:ind w:left="105" w:leftChars="50" w:firstLine="240"/>
              <w:jc w:val="left"/>
              <w:rPr>
                <w:rFonts w:ascii="仿宋" w:hAnsi="仿宋" w:eastAsia="仿宋" w:cs="宋体"/>
                <w:sz w:val="24"/>
              </w:rPr>
            </w:pPr>
            <w:r>
              <w:rPr>
                <w:rFonts w:hint="eastAsia" w:ascii="仿宋" w:hAnsi="仿宋" w:eastAsia="仿宋" w:cs="宋体"/>
                <w:sz w:val="24"/>
              </w:rPr>
              <w:t>在采购文件中，采购代理机构应按照财政部、工信部印发的《政府采购促进中小企业发展管理办法》的通知精神（财库〔2020〕46号）提供中小企业声明函格式。</w:t>
            </w:r>
          </w:p>
          <w:p>
            <w:pPr>
              <w:pStyle w:val="9"/>
              <w:ind w:left="105" w:leftChars="50" w:firstLine="240"/>
              <w:jc w:val="left"/>
              <w:rPr>
                <w:rFonts w:ascii="仿宋" w:hAnsi="仿宋" w:eastAsia="仿宋" w:cs="宋体"/>
                <w:sz w:val="24"/>
              </w:rPr>
            </w:pPr>
            <w:r>
              <w:rPr>
                <w:rFonts w:hint="eastAsia" w:ascii="仿宋" w:hAnsi="仿宋" w:eastAsia="仿宋" w:cs="宋体"/>
                <w:sz w:val="24"/>
              </w:rPr>
              <w:t>根据《政府采购促进中小企业发展管理办法》（财库〔2020〕46号）第四条：在政府采购活动中，供应商提供的货物、工程或者服务符合下列情形的，享受本办法规定的中小企业扶持政策：</w:t>
            </w:r>
          </w:p>
          <w:p>
            <w:pPr>
              <w:pStyle w:val="9"/>
              <w:ind w:left="105" w:leftChars="50" w:firstLine="240"/>
              <w:jc w:val="left"/>
              <w:rPr>
                <w:rFonts w:ascii="仿宋" w:hAnsi="仿宋" w:eastAsia="仿宋" w:cs="宋体"/>
                <w:sz w:val="24"/>
              </w:rPr>
            </w:pPr>
            <w:r>
              <w:rPr>
                <w:rFonts w:hint="eastAsia" w:ascii="仿宋" w:hAnsi="仿宋" w:eastAsia="仿宋" w:cs="宋体"/>
                <w:sz w:val="24"/>
              </w:rPr>
              <w:t>（一）在货物采购项目中，货物由中小企业制造，即货物由中小企业生产且使用该中小企业商号或者注册商标；</w:t>
            </w:r>
          </w:p>
          <w:p>
            <w:pPr>
              <w:pStyle w:val="9"/>
              <w:ind w:left="105" w:leftChars="50" w:firstLine="240"/>
              <w:jc w:val="left"/>
              <w:rPr>
                <w:rFonts w:ascii="仿宋" w:hAnsi="仿宋" w:eastAsia="仿宋" w:cs="宋体"/>
                <w:sz w:val="24"/>
              </w:rPr>
            </w:pPr>
            <w:r>
              <w:rPr>
                <w:rFonts w:hint="eastAsia" w:ascii="仿宋" w:hAnsi="仿宋" w:eastAsia="仿宋" w:cs="宋体"/>
                <w:sz w:val="24"/>
              </w:rPr>
              <w:t>（二）在工程采购项目中，工程由中小企业承建，即工程施工单位为中小企业；</w:t>
            </w:r>
          </w:p>
          <w:p>
            <w:pPr>
              <w:pStyle w:val="9"/>
              <w:ind w:left="105" w:leftChars="50" w:firstLine="240"/>
              <w:jc w:val="left"/>
              <w:rPr>
                <w:rFonts w:ascii="仿宋" w:hAnsi="仿宋" w:eastAsia="仿宋" w:cs="宋体"/>
                <w:sz w:val="24"/>
              </w:rPr>
            </w:pPr>
            <w:r>
              <w:rPr>
                <w:rFonts w:hint="eastAsia" w:ascii="仿宋" w:hAnsi="仿宋" w:eastAsia="仿宋" w:cs="宋体"/>
                <w:sz w:val="24"/>
              </w:rPr>
              <w:t>（三）在服务采购项目中，服务由中小企业承接，即提供服务的人员为中小企业依照《中华人民共和国劳动合同法》订立劳动合同的从业人员。</w:t>
            </w:r>
          </w:p>
          <w:p>
            <w:pPr>
              <w:pStyle w:val="9"/>
              <w:ind w:left="105" w:leftChars="50" w:firstLine="240"/>
              <w:jc w:val="left"/>
              <w:rPr>
                <w:rFonts w:ascii="仿宋" w:hAnsi="仿宋" w:eastAsia="仿宋" w:cs="宋体"/>
                <w:sz w:val="24"/>
              </w:rPr>
            </w:pPr>
            <w:r>
              <w:rPr>
                <w:rFonts w:hint="eastAsia" w:ascii="仿宋" w:hAnsi="仿宋" w:eastAsia="仿宋" w:cs="宋体"/>
                <w:sz w:val="24"/>
              </w:rPr>
              <w:t>在货物采购项目中，供应商提供的货物既有中小企业制</w:t>
            </w:r>
          </w:p>
          <w:p>
            <w:pPr>
              <w:pStyle w:val="9"/>
              <w:ind w:left="105" w:leftChars="50" w:firstLine="240"/>
              <w:jc w:val="left"/>
              <w:rPr>
                <w:rFonts w:ascii="仿宋" w:hAnsi="仿宋" w:eastAsia="仿宋" w:cs="宋体"/>
                <w:sz w:val="24"/>
              </w:rPr>
            </w:pPr>
            <w:r>
              <w:rPr>
                <w:rFonts w:hint="eastAsia" w:ascii="仿宋" w:hAnsi="仿宋" w:eastAsia="仿宋" w:cs="宋体"/>
                <w:sz w:val="24"/>
              </w:rPr>
              <w:t>造货物，也有大型企业制造货物的，不享受本办法规定的中小企业扶持政策。</w:t>
            </w:r>
          </w:p>
          <w:p>
            <w:pPr>
              <w:pStyle w:val="9"/>
              <w:ind w:left="105" w:leftChars="50" w:firstLine="240"/>
              <w:jc w:val="left"/>
              <w:rPr>
                <w:rFonts w:ascii="仿宋" w:hAnsi="仿宋" w:eastAsia="仿宋" w:cs="宋体"/>
                <w:sz w:val="24"/>
              </w:rPr>
            </w:pPr>
            <w:r>
              <w:rPr>
                <w:rFonts w:hint="eastAsia" w:ascii="仿宋" w:hAnsi="仿宋" w:eastAsia="仿宋" w:cs="宋体"/>
                <w:sz w:val="24"/>
              </w:rPr>
              <w:t>以联合体形式参加政府采购活动，联合体各方均为中小企业的，联合体视同中小企业。其中，联合体各方均为小微企业的，联合体视同小微企业。</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四、</w:t>
            </w:r>
            <w:r>
              <w:rPr>
                <w:rFonts w:ascii="仿宋" w:hAnsi="仿宋" w:eastAsia="仿宋" w:cs="宋体"/>
                <w:b/>
                <w:sz w:val="24"/>
              </w:rPr>
              <w:t>推广</w:t>
            </w:r>
            <w:r>
              <w:rPr>
                <w:rFonts w:hint="eastAsia" w:ascii="仿宋" w:hAnsi="仿宋" w:eastAsia="仿宋" w:cs="宋体"/>
                <w:b/>
                <w:sz w:val="24"/>
              </w:rPr>
              <w:t>政府采购合同融资</w:t>
            </w:r>
          </w:p>
          <w:p>
            <w:pPr>
              <w:pStyle w:val="9"/>
              <w:ind w:left="105" w:leftChars="50" w:firstLine="240"/>
              <w:jc w:val="left"/>
              <w:rPr>
                <w:rFonts w:ascii="仿宋" w:hAnsi="仿宋" w:eastAsia="仿宋" w:cs="宋体"/>
                <w:sz w:val="24"/>
              </w:rPr>
            </w:pPr>
            <w:r>
              <w:rPr>
                <w:rFonts w:hint="eastAsia" w:ascii="仿宋" w:hAnsi="仿宋" w:eastAsia="仿宋" w:cs="宋体"/>
                <w:sz w:val="24"/>
              </w:rPr>
              <w:t>要求采购人和代理机构将“政府采购合同融资告知函”写入招标文件，</w:t>
            </w:r>
            <w:r>
              <w:rPr>
                <w:rFonts w:ascii="仿宋" w:hAnsi="仿宋" w:eastAsia="仿宋" w:cs="宋体"/>
                <w:sz w:val="24"/>
              </w:rPr>
              <w:t>鼓励中标供应商凭借采购合同申请贷款，助力解决中小企业融资难、融资贵的问题。</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五、落实预留采购份额</w:t>
            </w:r>
          </w:p>
          <w:p>
            <w:pPr>
              <w:pStyle w:val="9"/>
              <w:ind w:left="105" w:leftChars="50" w:firstLine="240"/>
              <w:jc w:val="left"/>
              <w:rPr>
                <w:rFonts w:ascii="仿宋" w:hAnsi="仿宋" w:eastAsia="仿宋" w:cs="宋体"/>
                <w:sz w:val="24"/>
              </w:rPr>
            </w:pPr>
            <w:r>
              <w:rPr>
                <w:rFonts w:hint="eastAsia" w:ascii="仿宋" w:hAnsi="仿宋" w:eastAsia="仿宋" w:cs="宋体"/>
                <w:sz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left="105" w:leftChars="50"/>
              <w:jc w:val="left"/>
              <w:rPr>
                <w:rFonts w:ascii="仿宋" w:hAnsi="仿宋" w:eastAsia="仿宋" w:cs="宋体"/>
                <w:b/>
                <w:sz w:val="24"/>
              </w:rPr>
            </w:pPr>
            <w:r>
              <w:rPr>
                <w:rFonts w:hint="eastAsia" w:ascii="仿宋" w:hAnsi="仿宋" w:eastAsia="仿宋" w:cs="宋体"/>
                <w:b/>
                <w:sz w:val="24"/>
              </w:rPr>
              <w:t>六、落实价格评审优惠政策</w:t>
            </w:r>
          </w:p>
          <w:p>
            <w:pPr>
              <w:pStyle w:val="9"/>
              <w:ind w:left="105" w:leftChars="50" w:firstLine="240"/>
              <w:jc w:val="left"/>
              <w:rPr>
                <w:rFonts w:ascii="仿宋" w:hAnsi="仿宋" w:eastAsia="仿宋" w:cs="宋体"/>
                <w:sz w:val="24"/>
              </w:rPr>
            </w:pPr>
            <w:r>
              <w:rPr>
                <w:rFonts w:hint="eastAsia" w:ascii="仿宋" w:hAnsi="仿宋" w:eastAsia="仿宋" w:cs="宋体"/>
                <w:sz w:val="24"/>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w:t>
            </w:r>
            <w:r>
              <w:rPr>
                <w:rFonts w:hint="eastAsia" w:ascii="仿宋" w:hAnsi="仿宋" w:eastAsia="仿宋" w:cs="宋体"/>
                <w:b/>
                <w:sz w:val="24"/>
              </w:rPr>
              <w:t>从高选择</w:t>
            </w:r>
            <w:r>
              <w:rPr>
                <w:rFonts w:hint="eastAsia" w:ascii="仿宋" w:hAnsi="仿宋" w:eastAsia="仿宋" w:cs="宋体"/>
                <w:sz w:val="24"/>
              </w:rPr>
              <w:t>价格扣除比例和评审优惠幅度，支持中小企业发展。上述政策应当在评审办法中</w:t>
            </w:r>
            <w:r>
              <w:rPr>
                <w:rFonts w:hint="eastAsia" w:ascii="仿宋" w:hAnsi="仿宋" w:eastAsia="仿宋" w:cs="宋体"/>
                <w:b/>
                <w:sz w:val="24"/>
              </w:rPr>
              <w:t>注明确定值。</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4"/>
              </w:rPr>
            </w:pPr>
            <w:r>
              <w:rPr>
                <w:rFonts w:hint="eastAsia" w:ascii="仿宋" w:hAnsi="仿宋" w:eastAsia="仿宋" w:cs="宋体"/>
                <w:sz w:val="24"/>
              </w:rPr>
              <w:t>34</w:t>
            </w:r>
          </w:p>
        </w:tc>
        <w:tc>
          <w:tcPr>
            <w:tcW w:w="13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落实绿色产品（节能产品、环境标志产品）优先采购政策。</w:t>
            </w:r>
          </w:p>
        </w:tc>
        <w:tc>
          <w:tcPr>
            <w:tcW w:w="6574" w:type="dxa"/>
            <w:tcBorders>
              <w:top w:val="single" w:color="000000" w:sz="4" w:space="0"/>
              <w:left w:val="single" w:color="000000" w:sz="4" w:space="0"/>
              <w:bottom w:val="single" w:color="000000" w:sz="4" w:space="0"/>
              <w:right w:val="single" w:color="000000" w:sz="4" w:space="0"/>
            </w:tcBorders>
            <w:vAlign w:val="center"/>
          </w:tcPr>
          <w:p>
            <w:pPr>
              <w:pStyle w:val="9"/>
              <w:ind w:left="105" w:leftChars="50" w:right="105" w:rightChars="50" w:firstLine="360" w:firstLineChars="150"/>
              <w:rPr>
                <w:rFonts w:ascii="仿宋" w:hAnsi="仿宋" w:eastAsia="仿宋" w:cs="宋体"/>
                <w:sz w:val="24"/>
              </w:rPr>
            </w:pPr>
            <w:r>
              <w:rPr>
                <w:rFonts w:hint="eastAsia" w:ascii="仿宋" w:hAnsi="仿宋" w:eastAsia="仿宋" w:cs="宋体"/>
                <w:sz w:val="24"/>
              </w:rPr>
              <w:t>不适用</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35</w:t>
            </w:r>
          </w:p>
        </w:tc>
        <w:tc>
          <w:tcPr>
            <w:tcW w:w="13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本项目所属行业</w:t>
            </w:r>
          </w:p>
        </w:tc>
        <w:tc>
          <w:tcPr>
            <w:tcW w:w="6574" w:type="dxa"/>
            <w:tcBorders>
              <w:top w:val="single" w:color="000000" w:sz="4" w:space="0"/>
              <w:left w:val="single" w:color="000000" w:sz="4" w:space="0"/>
              <w:bottom w:val="single" w:color="000000" w:sz="4" w:space="0"/>
              <w:right w:val="single" w:color="000000" w:sz="4" w:space="0"/>
            </w:tcBorders>
            <w:vAlign w:val="center"/>
          </w:tcPr>
          <w:p>
            <w:pPr>
              <w:pStyle w:val="9"/>
              <w:ind w:right="105" w:rightChars="50" w:firstLine="0" w:firstLineChars="0"/>
              <w:rPr>
                <w:rFonts w:hint="eastAsia" w:ascii="仿宋" w:hAnsi="仿宋" w:eastAsia="仿宋" w:cs="宋体"/>
                <w:sz w:val="24"/>
                <w:lang w:val="zh-TW" w:eastAsia="zh-CN"/>
              </w:rPr>
            </w:pPr>
            <w:r>
              <w:rPr>
                <w:rFonts w:hint="eastAsia" w:ascii="仿宋" w:hAnsi="仿宋" w:eastAsia="仿宋" w:cs="宋体"/>
                <w:sz w:val="24"/>
                <w:lang w:val="zh-TW"/>
              </w:rPr>
              <w:t>标的：</w:t>
            </w:r>
            <w:r>
              <w:rPr>
                <w:rFonts w:hint="eastAsia" w:ascii="仿宋" w:hAnsi="仿宋" w:eastAsia="仿宋" w:cs="宋体"/>
                <w:sz w:val="24"/>
                <w:lang w:val="zh-TW" w:eastAsia="zh-CN"/>
              </w:rPr>
              <w:t>平顶山市中医医院中医药传承创新大楼（三号病房楼）建设项目全过程造价咨询服务</w:t>
            </w:r>
          </w:p>
          <w:p>
            <w:pPr>
              <w:pStyle w:val="9"/>
              <w:ind w:right="105" w:rightChars="50" w:firstLine="0" w:firstLineChars="0"/>
              <w:rPr>
                <w:rFonts w:ascii="仿宋" w:hAnsi="仿宋" w:eastAsia="仿宋" w:cs="宋体"/>
                <w:sz w:val="24"/>
              </w:rPr>
            </w:pPr>
            <w:r>
              <w:rPr>
                <w:rFonts w:hint="eastAsia" w:ascii="仿宋" w:hAnsi="仿宋" w:eastAsia="仿宋" w:cs="宋体"/>
                <w:sz w:val="24"/>
                <w:lang w:val="zh-TW"/>
              </w:rPr>
              <w:t>属于：</w:t>
            </w:r>
            <w:r>
              <w:rPr>
                <w:rFonts w:hint="eastAsia" w:ascii="仿宋" w:hAnsi="仿宋" w:eastAsia="仿宋" w:cs="宋体"/>
                <w:sz w:val="24"/>
              </w:rPr>
              <w:t>其它未列明行业（行业属性划分参照关于印发中小企业划型标准规定的通知(工信部联企业〔2011〕300号) ）</w:t>
            </w:r>
          </w:p>
        </w:tc>
      </w:tr>
      <w:tr>
        <w:tblPrEx>
          <w:tblLayout w:type="fixed"/>
          <w:tblCellMar>
            <w:top w:w="0" w:type="dxa"/>
            <w:left w:w="0" w:type="dxa"/>
            <w:bottom w:w="0" w:type="dxa"/>
            <w:right w:w="0" w:type="dxa"/>
          </w:tblCellMar>
        </w:tblPrEx>
        <w:trPr>
          <w:trHeight w:val="274" w:hRule="atLeast"/>
        </w:trPr>
        <w:tc>
          <w:tcPr>
            <w:tcW w:w="85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其它</w:t>
            </w:r>
          </w:p>
        </w:tc>
        <w:tc>
          <w:tcPr>
            <w:tcW w:w="136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
                <w:sz w:val="24"/>
              </w:rPr>
            </w:pPr>
            <w:r>
              <w:rPr>
                <w:rFonts w:hint="eastAsia" w:ascii="仿宋" w:hAnsi="仿宋" w:eastAsia="仿宋" w:cs="宋体"/>
                <w:b/>
                <w:sz w:val="24"/>
              </w:rPr>
              <w:t>合同签订方式</w:t>
            </w:r>
          </w:p>
        </w:tc>
        <w:tc>
          <w:tcPr>
            <w:tcW w:w="6574" w:type="dxa"/>
            <w:tcBorders>
              <w:top w:val="single" w:color="000000" w:sz="4" w:space="0"/>
              <w:left w:val="single" w:color="000000" w:sz="4" w:space="0"/>
              <w:bottom w:val="single" w:color="000000" w:sz="4" w:space="0"/>
              <w:right w:val="single" w:color="000000" w:sz="4" w:space="0"/>
            </w:tcBorders>
            <w:vAlign w:val="center"/>
          </w:tcPr>
          <w:p>
            <w:pPr>
              <w:pStyle w:val="9"/>
              <w:ind w:right="105" w:rightChars="50" w:firstLine="0" w:firstLineChars="0"/>
              <w:rPr>
                <w:rFonts w:ascii="仿宋" w:hAnsi="仿宋" w:eastAsia="仿宋" w:cs="宋体"/>
                <w:sz w:val="24"/>
              </w:rPr>
            </w:pPr>
            <w:r>
              <w:rPr>
                <w:rFonts w:hint="eastAsia" w:ascii="仿宋" w:hAnsi="仿宋" w:eastAsia="仿宋" w:cs="宋体"/>
                <w:sz w:val="24"/>
                <w:lang w:val="zh-TW"/>
              </w:rPr>
              <w:t>合同在线签订，招标人（采购人）与中标人（供应商）利用平顶山公共资源交易平台“合同在线签订模块”，将电子合同推送至对方进行审核，经双方确认均无异议通过后，进行在线签章，完成合同签订并公示。</w:t>
            </w:r>
          </w:p>
        </w:tc>
      </w:tr>
      <w:bookmarkEnd w:id="49"/>
    </w:tbl>
    <w:p/>
    <w:bookmarkEnd w:id="41"/>
    <w:bookmarkEnd w:id="42"/>
    <w:bookmarkEnd w:id="43"/>
    <w:bookmarkEnd w:id="44"/>
    <w:bookmarkEnd w:id="45"/>
    <w:bookmarkEnd w:id="46"/>
    <w:bookmarkEnd w:id="47"/>
    <w:bookmarkEnd w:id="48"/>
    <w:bookmarkEnd w:id="50"/>
    <w:p>
      <w:pPr>
        <w:pStyle w:val="2"/>
      </w:pPr>
      <w:r>
        <w:rPr>
          <w:rFonts w:hint="eastAsia"/>
        </w:rPr>
        <w:t>投标人须知正文</w:t>
      </w:r>
    </w:p>
    <w:p>
      <w:pPr>
        <w:spacing w:line="400" w:lineRule="exact"/>
        <w:rPr>
          <w:rFonts w:ascii="宋体" w:hAnsi="宋体" w:cs="宋体"/>
          <w:szCs w:val="21"/>
        </w:rPr>
      </w:pPr>
      <w:r>
        <w:rPr>
          <w:rFonts w:hint="eastAsia" w:ascii="宋体" w:hAnsi="宋体" w:cs="宋体"/>
          <w:szCs w:val="21"/>
        </w:rPr>
        <w:t>1、本采购项目采购人：见投标人须知前附表。</w:t>
      </w:r>
    </w:p>
    <w:p>
      <w:pPr>
        <w:spacing w:line="400" w:lineRule="exact"/>
        <w:rPr>
          <w:rFonts w:ascii="宋体" w:hAnsi="宋体" w:cs="宋体"/>
          <w:szCs w:val="21"/>
        </w:rPr>
      </w:pPr>
      <w:r>
        <w:rPr>
          <w:rFonts w:hint="eastAsia" w:ascii="宋体" w:hAnsi="宋体" w:cs="宋体"/>
          <w:szCs w:val="21"/>
        </w:rPr>
        <w:t>2、本采购项目采购代理机构：见投标人须知前附表。</w:t>
      </w:r>
    </w:p>
    <w:p>
      <w:pPr>
        <w:spacing w:line="400" w:lineRule="exact"/>
        <w:rPr>
          <w:rFonts w:ascii="宋体" w:hAnsi="宋体" w:cs="宋体"/>
          <w:szCs w:val="21"/>
        </w:rPr>
      </w:pPr>
      <w:r>
        <w:rPr>
          <w:rFonts w:hint="eastAsia" w:ascii="宋体" w:hAnsi="宋体" w:cs="宋体"/>
          <w:szCs w:val="21"/>
        </w:rPr>
        <w:t>3、本采购项目名称：见投标人须知前附表。</w:t>
      </w:r>
      <w:bookmarkStart w:id="51" w:name="_Toc246996177"/>
      <w:bookmarkStart w:id="52" w:name="_Toc246996920"/>
      <w:bookmarkStart w:id="53" w:name="_Toc512597507"/>
      <w:bookmarkStart w:id="54" w:name="_Toc410287378"/>
      <w:bookmarkStart w:id="55" w:name="_Toc247085691"/>
      <w:bookmarkStart w:id="56" w:name="_Toc296602422"/>
      <w:bookmarkStart w:id="57" w:name="_Toc179632548"/>
      <w:bookmarkStart w:id="58" w:name="_Toc152045531"/>
      <w:bookmarkStart w:id="59" w:name="_Toc14440"/>
      <w:bookmarkStart w:id="60" w:name="_Toc144974499"/>
      <w:bookmarkStart w:id="61" w:name="_Toc152042307"/>
    </w:p>
    <w:p>
      <w:pPr>
        <w:spacing w:line="400" w:lineRule="exact"/>
        <w:rPr>
          <w:rFonts w:ascii="宋体" w:hAnsi="宋体" w:cs="宋体"/>
          <w:szCs w:val="21"/>
        </w:rPr>
      </w:pPr>
      <w:r>
        <w:rPr>
          <w:rFonts w:hint="eastAsia" w:ascii="宋体" w:hAnsi="宋体" w:cs="宋体"/>
          <w:szCs w:val="21"/>
        </w:rPr>
        <w:t>4、本采购项目资金来源和落实情况</w:t>
      </w:r>
      <w:bookmarkEnd w:id="51"/>
      <w:bookmarkEnd w:id="52"/>
      <w:bookmarkEnd w:id="53"/>
      <w:bookmarkEnd w:id="54"/>
      <w:bookmarkEnd w:id="55"/>
      <w:bookmarkEnd w:id="56"/>
      <w:bookmarkEnd w:id="57"/>
      <w:bookmarkEnd w:id="58"/>
      <w:bookmarkEnd w:id="59"/>
      <w:bookmarkEnd w:id="60"/>
      <w:bookmarkEnd w:id="61"/>
    </w:p>
    <w:p>
      <w:pPr>
        <w:spacing w:line="400" w:lineRule="exact"/>
        <w:rPr>
          <w:rFonts w:ascii="宋体" w:hAnsi="宋体" w:cs="宋体"/>
          <w:szCs w:val="21"/>
        </w:rPr>
      </w:pPr>
      <w:r>
        <w:rPr>
          <w:rFonts w:hint="eastAsia" w:ascii="宋体" w:hAnsi="宋体" w:cs="宋体"/>
          <w:szCs w:val="21"/>
        </w:rPr>
        <w:t>5、本次采购内容：见投标人须知前附表。</w:t>
      </w:r>
    </w:p>
    <w:p>
      <w:pPr>
        <w:spacing w:line="400" w:lineRule="exact"/>
        <w:rPr>
          <w:rFonts w:ascii="宋体" w:hAnsi="宋体" w:cs="宋体"/>
          <w:szCs w:val="21"/>
        </w:rPr>
      </w:pPr>
      <w:r>
        <w:rPr>
          <w:rFonts w:hint="eastAsia" w:ascii="宋体" w:hAnsi="宋体" w:cs="宋体"/>
          <w:szCs w:val="21"/>
        </w:rPr>
        <w:t>6、本采购项目的采购方式：见投标人须知前附表。</w:t>
      </w:r>
    </w:p>
    <w:p>
      <w:pPr>
        <w:spacing w:line="400" w:lineRule="exact"/>
        <w:rPr>
          <w:rFonts w:ascii="宋体" w:hAnsi="宋体" w:cs="宋体"/>
          <w:szCs w:val="21"/>
        </w:rPr>
      </w:pPr>
      <w:r>
        <w:rPr>
          <w:rFonts w:hint="eastAsia" w:ascii="宋体" w:hAnsi="宋体" w:cs="宋体"/>
          <w:szCs w:val="21"/>
        </w:rPr>
        <w:t>7、本次采购项目属性：见投标人须知前附表。</w:t>
      </w:r>
    </w:p>
    <w:p>
      <w:pPr>
        <w:spacing w:line="400" w:lineRule="exact"/>
        <w:rPr>
          <w:rFonts w:ascii="宋体" w:hAnsi="宋体" w:cs="宋体"/>
          <w:szCs w:val="21"/>
        </w:rPr>
      </w:pPr>
      <w:r>
        <w:rPr>
          <w:rFonts w:hint="eastAsia" w:ascii="宋体" w:hAnsi="宋体" w:cs="宋体"/>
          <w:szCs w:val="21"/>
        </w:rPr>
        <w:t>8、本次采购项目合同履行期限：见投标人须知前附表。</w:t>
      </w:r>
    </w:p>
    <w:p>
      <w:pPr>
        <w:spacing w:line="400" w:lineRule="exact"/>
        <w:rPr>
          <w:rFonts w:ascii="宋体" w:hAnsi="宋体" w:cs="宋体"/>
          <w:szCs w:val="21"/>
        </w:rPr>
      </w:pPr>
      <w:r>
        <w:rPr>
          <w:rFonts w:hint="eastAsia" w:ascii="宋体" w:hAnsi="宋体" w:cs="宋体"/>
          <w:szCs w:val="21"/>
        </w:rPr>
        <w:t>9、本次采购项目服务期限：见投标人须知前附表。</w:t>
      </w:r>
    </w:p>
    <w:p>
      <w:pPr>
        <w:spacing w:line="400" w:lineRule="exact"/>
        <w:rPr>
          <w:rFonts w:ascii="宋体" w:hAnsi="宋体" w:cs="宋体"/>
          <w:szCs w:val="21"/>
        </w:rPr>
      </w:pPr>
      <w:r>
        <w:rPr>
          <w:rFonts w:hint="eastAsia" w:ascii="宋体" w:hAnsi="宋体" w:cs="宋体"/>
          <w:szCs w:val="21"/>
        </w:rPr>
        <w:t>10、本采购项目的项目地点：见投标人须知前附表。</w:t>
      </w:r>
    </w:p>
    <w:p>
      <w:pPr>
        <w:spacing w:line="400" w:lineRule="exact"/>
        <w:rPr>
          <w:rFonts w:ascii="宋体" w:hAnsi="宋体" w:cs="宋体"/>
          <w:szCs w:val="21"/>
        </w:rPr>
      </w:pPr>
      <w:r>
        <w:rPr>
          <w:rFonts w:hint="eastAsia" w:ascii="宋体" w:hAnsi="宋体" w:cs="宋体"/>
          <w:szCs w:val="21"/>
        </w:rPr>
        <w:t>11、本采购项目的服务要求：见投标人须知前附表。</w:t>
      </w:r>
    </w:p>
    <w:p>
      <w:pPr>
        <w:spacing w:line="400" w:lineRule="exact"/>
        <w:rPr>
          <w:rFonts w:ascii="宋体" w:hAnsi="宋体" w:cs="宋体"/>
          <w:szCs w:val="21"/>
        </w:rPr>
      </w:pPr>
      <w:r>
        <w:rPr>
          <w:rFonts w:hint="eastAsia" w:ascii="宋体" w:hAnsi="宋体" w:cs="宋体"/>
          <w:szCs w:val="21"/>
        </w:rPr>
        <w:t>12、本采购项目的投标人资格：见投标人须知前附表。</w:t>
      </w:r>
    </w:p>
    <w:p>
      <w:pPr>
        <w:spacing w:line="400" w:lineRule="exact"/>
        <w:rPr>
          <w:rFonts w:ascii="宋体" w:hAnsi="宋体" w:cs="宋体"/>
          <w:szCs w:val="21"/>
        </w:rPr>
      </w:pPr>
      <w:r>
        <w:rPr>
          <w:rFonts w:hint="eastAsia" w:ascii="宋体" w:hAnsi="宋体" w:cs="宋体"/>
          <w:szCs w:val="21"/>
        </w:rPr>
        <w:t>13、本采购项目是否接受联合体投标：见投标人须知前附表。</w:t>
      </w:r>
    </w:p>
    <w:p>
      <w:pPr>
        <w:spacing w:line="400" w:lineRule="exact"/>
        <w:ind w:firstLine="420" w:firstLineChars="200"/>
        <w:rPr>
          <w:rFonts w:ascii="宋体" w:hAnsi="宋体" w:cs="宋体"/>
          <w:szCs w:val="21"/>
        </w:rPr>
      </w:pPr>
      <w:r>
        <w:rPr>
          <w:rFonts w:hint="eastAsia" w:ascii="宋体" w:hAnsi="宋体" w:cs="宋体"/>
          <w:szCs w:val="21"/>
        </w:rPr>
        <w:t>13.1投标人须知前附表规定接受联合体投标的，除应符合本章第12项和投标人须知前附表的要求外，还应遵守以下规定：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spacing w:line="400" w:lineRule="exact"/>
        <w:rPr>
          <w:rFonts w:ascii="宋体" w:hAnsi="宋体" w:cs="宋体"/>
          <w:szCs w:val="21"/>
        </w:rPr>
      </w:pPr>
      <w:r>
        <w:rPr>
          <w:rFonts w:hint="eastAsia" w:ascii="宋体" w:hAnsi="宋体" w:cs="宋体"/>
          <w:szCs w:val="21"/>
        </w:rPr>
        <w:t>14、本采购项目是否踏勘现场及答疑：见投标人须知前附表。</w:t>
      </w:r>
    </w:p>
    <w:p>
      <w:pPr>
        <w:spacing w:line="400" w:lineRule="exact"/>
        <w:rPr>
          <w:rFonts w:ascii="宋体" w:hAnsi="宋体" w:cs="宋体"/>
          <w:szCs w:val="21"/>
        </w:rPr>
      </w:pPr>
      <w:r>
        <w:rPr>
          <w:rFonts w:hint="eastAsia" w:ascii="宋体" w:hAnsi="宋体" w:cs="宋体"/>
          <w:szCs w:val="21"/>
        </w:rPr>
        <w:t>15、本采购项目是否招开投标预备会：见投标人须知前附表。</w:t>
      </w:r>
    </w:p>
    <w:p>
      <w:pPr>
        <w:spacing w:line="400" w:lineRule="exact"/>
        <w:rPr>
          <w:rFonts w:ascii="宋体" w:hAnsi="宋体" w:cs="宋体"/>
          <w:szCs w:val="21"/>
        </w:rPr>
      </w:pPr>
      <w:r>
        <w:rPr>
          <w:rFonts w:hint="eastAsia" w:ascii="宋体" w:hAnsi="宋体" w:cs="宋体"/>
          <w:szCs w:val="21"/>
        </w:rPr>
        <w:t>16、本采购项目是否允许技术偏离：见投标人须知前附表。</w:t>
      </w:r>
    </w:p>
    <w:p>
      <w:pPr>
        <w:spacing w:line="400" w:lineRule="exact"/>
        <w:rPr>
          <w:rFonts w:ascii="宋体" w:hAnsi="宋体" w:cs="宋体"/>
          <w:szCs w:val="21"/>
        </w:rPr>
      </w:pPr>
      <w:r>
        <w:rPr>
          <w:rFonts w:hint="eastAsia" w:ascii="宋体" w:hAnsi="宋体" w:cs="宋体"/>
          <w:szCs w:val="21"/>
        </w:rPr>
        <w:t>17、本采购项目构成招标文件的其他材料：见投标人须知前附表。</w:t>
      </w:r>
    </w:p>
    <w:p>
      <w:pPr>
        <w:spacing w:line="400" w:lineRule="exact"/>
        <w:rPr>
          <w:rFonts w:ascii="宋体" w:hAnsi="宋体" w:cs="宋体"/>
          <w:szCs w:val="21"/>
        </w:rPr>
      </w:pPr>
      <w:r>
        <w:rPr>
          <w:rFonts w:hint="eastAsia" w:ascii="宋体" w:hAnsi="宋体" w:cs="宋体"/>
          <w:szCs w:val="21"/>
        </w:rPr>
        <w:t>18、投标人要求澄清招标文件的截止时间：见投标人须知前附表。</w:t>
      </w:r>
    </w:p>
    <w:p>
      <w:pPr>
        <w:spacing w:line="400" w:lineRule="exact"/>
        <w:ind w:firstLine="420" w:firstLineChars="200"/>
        <w:rPr>
          <w:rFonts w:ascii="宋体" w:hAnsi="宋体" w:cs="宋体"/>
          <w:szCs w:val="21"/>
        </w:rPr>
      </w:pPr>
      <w:r>
        <w:rPr>
          <w:rFonts w:hint="eastAsia" w:ascii="宋体" w:hAnsi="宋体" w:cs="宋体"/>
          <w:szCs w:val="21"/>
        </w:rPr>
        <w:t>18.1投标人应仔细阅读和检查招标文件的全部内容。如发现缺页、附件不全或认为采购文件使自己的权益受到损害的，可以自获取采购文件之日或者采购文件公告期限届满之日（在公告期限届满之前下载的，则质疑期限以实际获取采购文件之日起计算，公告期限届满后获取采购文件的，以公告期限届满之日为准）起7个工作日内通过平顶山市电子交易系统提出。采购文件公告期限同招标公告期限。</w:t>
      </w:r>
    </w:p>
    <w:p>
      <w:pPr>
        <w:spacing w:line="400" w:lineRule="exact"/>
        <w:ind w:firstLine="420" w:firstLineChars="200"/>
        <w:rPr>
          <w:rFonts w:ascii="宋体" w:hAnsi="宋体" w:cs="宋体"/>
          <w:szCs w:val="21"/>
        </w:rPr>
      </w:pPr>
      <w:r>
        <w:rPr>
          <w:rFonts w:hint="eastAsia" w:ascii="宋体" w:hAnsi="宋体" w:cs="宋体"/>
          <w:szCs w:val="21"/>
        </w:rPr>
        <w:t>18.2澄清的内容可能影响投标文件编制的，采购人或者采购代理机构将在投标截止时间至少15日前，通过电子交易系统通知所有获取招标文件的潜在投标人。不足15日的，采购人或者采购代理机构应当顺延提交投标文件的截止时间</w:t>
      </w:r>
    </w:p>
    <w:p>
      <w:pPr>
        <w:spacing w:line="400" w:lineRule="exact"/>
        <w:ind w:firstLine="420" w:firstLineChars="200"/>
        <w:rPr>
          <w:rFonts w:ascii="宋体" w:hAnsi="宋体" w:cs="宋体"/>
          <w:szCs w:val="21"/>
        </w:rPr>
      </w:pPr>
      <w:r>
        <w:rPr>
          <w:rFonts w:hint="eastAsia" w:ascii="宋体" w:hAnsi="宋体" w:cs="宋体"/>
          <w:szCs w:val="21"/>
        </w:rPr>
        <w:t>18.3因交易中心平台在开标前具有保密性，投标人在投标截止时间前须自行查看项目进展、变更通知、澄清、修改公告及回复，因投标人未及时查看而造成的后果自负。19、投标截止时间：见投标人须知前附表。</w:t>
      </w:r>
    </w:p>
    <w:p>
      <w:pPr>
        <w:spacing w:line="400" w:lineRule="exact"/>
        <w:rPr>
          <w:rFonts w:ascii="宋体" w:hAnsi="宋体" w:cs="宋体"/>
          <w:szCs w:val="21"/>
        </w:rPr>
      </w:pPr>
      <w:r>
        <w:rPr>
          <w:rFonts w:hint="eastAsia" w:ascii="宋体" w:hAnsi="宋体" w:cs="宋体"/>
          <w:szCs w:val="21"/>
        </w:rPr>
        <w:t>20、投标文件电子版：见投标人须知前附表。</w:t>
      </w:r>
    </w:p>
    <w:p>
      <w:pPr>
        <w:spacing w:line="400" w:lineRule="exact"/>
        <w:rPr>
          <w:rFonts w:ascii="宋体" w:hAnsi="宋体" w:cs="宋体"/>
          <w:szCs w:val="21"/>
        </w:rPr>
      </w:pPr>
      <w:r>
        <w:rPr>
          <w:rFonts w:hint="eastAsia" w:ascii="宋体" w:hAnsi="宋体" w:cs="宋体"/>
          <w:szCs w:val="21"/>
        </w:rPr>
        <w:t>21、投标有效期：见投标人须知前附表。</w:t>
      </w:r>
    </w:p>
    <w:p>
      <w:pPr>
        <w:spacing w:line="400" w:lineRule="exact"/>
        <w:ind w:firstLine="420" w:firstLineChars="200"/>
        <w:rPr>
          <w:rFonts w:ascii="宋体" w:hAnsi="宋体" w:cs="宋体"/>
          <w:szCs w:val="21"/>
        </w:rPr>
      </w:pPr>
      <w:r>
        <w:rPr>
          <w:rFonts w:hint="eastAsia" w:ascii="宋体" w:hAnsi="宋体" w:cs="宋体"/>
          <w:szCs w:val="21"/>
        </w:rPr>
        <w:t>21.1在投标人须知前附表规定的投标有效期内，投标人不得要求撤销或修改其投标文件。</w:t>
      </w:r>
    </w:p>
    <w:p>
      <w:pPr>
        <w:spacing w:line="400" w:lineRule="exact"/>
        <w:ind w:firstLine="420" w:firstLineChars="200"/>
      </w:pPr>
      <w:r>
        <w:rPr>
          <w:rFonts w:hint="eastAsia" w:ascii="宋体" w:hAnsi="宋体" w:cs="宋体"/>
          <w:szCs w:val="21"/>
        </w:rPr>
        <w:t>21.2出现特殊情况需要延长投标有效期的，采购人以书面形式通知所有投标人延长投标有效期。投标人同意延长的，应相应延长其投标保证金的有效期，但不得要求或被允许修改或撤销其投标文件；投标人拒绝延长的，其投标失效。</w:t>
      </w:r>
    </w:p>
    <w:p>
      <w:pPr>
        <w:spacing w:line="400" w:lineRule="exact"/>
        <w:rPr>
          <w:rFonts w:ascii="宋体" w:hAnsi="宋体" w:cs="宋体"/>
          <w:szCs w:val="21"/>
        </w:rPr>
      </w:pPr>
      <w:r>
        <w:rPr>
          <w:rFonts w:hint="eastAsia" w:ascii="宋体" w:hAnsi="宋体" w:cs="宋体"/>
          <w:szCs w:val="21"/>
        </w:rPr>
        <w:t>22、本采购项目的投标保证金、履约保证金、质量保证金、招标文件费用：见投标人须知前附表。</w:t>
      </w:r>
    </w:p>
    <w:p>
      <w:pPr>
        <w:spacing w:line="400" w:lineRule="exact"/>
        <w:rPr>
          <w:rFonts w:ascii="宋体" w:hAnsi="宋体" w:cs="宋体"/>
          <w:szCs w:val="21"/>
        </w:rPr>
      </w:pPr>
      <w:r>
        <w:rPr>
          <w:rFonts w:hint="eastAsia" w:ascii="宋体" w:hAnsi="宋体" w:cs="宋体"/>
          <w:szCs w:val="21"/>
        </w:rPr>
        <w:t>23、签字或盖章要求：见投标人须知前附表。</w:t>
      </w:r>
    </w:p>
    <w:p>
      <w:pPr>
        <w:spacing w:line="400" w:lineRule="exact"/>
        <w:rPr>
          <w:rFonts w:ascii="宋体" w:hAnsi="宋体" w:cs="宋体"/>
          <w:szCs w:val="21"/>
        </w:rPr>
      </w:pPr>
      <w:r>
        <w:rPr>
          <w:rFonts w:hint="eastAsia" w:ascii="宋体" w:hAnsi="宋体" w:cs="宋体"/>
          <w:szCs w:val="21"/>
        </w:rPr>
        <w:t>24、递交投标文件地点：见投标人须知前附表。</w:t>
      </w:r>
    </w:p>
    <w:p>
      <w:pPr>
        <w:spacing w:line="400" w:lineRule="exact"/>
        <w:rPr>
          <w:rFonts w:ascii="宋体" w:hAnsi="宋体" w:cs="宋体"/>
          <w:szCs w:val="21"/>
        </w:rPr>
      </w:pPr>
      <w:r>
        <w:rPr>
          <w:rFonts w:hint="eastAsia" w:ascii="宋体" w:hAnsi="宋体" w:cs="宋体"/>
          <w:szCs w:val="21"/>
        </w:rPr>
        <w:t>25、开标时间和地点：见投标人须知前附表。</w:t>
      </w:r>
    </w:p>
    <w:p>
      <w:pPr>
        <w:spacing w:line="400" w:lineRule="exact"/>
        <w:rPr>
          <w:rFonts w:ascii="宋体" w:hAnsi="宋体" w:cs="宋体"/>
          <w:szCs w:val="21"/>
        </w:rPr>
      </w:pPr>
      <w:r>
        <w:rPr>
          <w:rFonts w:hint="eastAsia" w:ascii="宋体" w:hAnsi="宋体" w:cs="宋体"/>
          <w:szCs w:val="21"/>
        </w:rPr>
        <w:t>26、开标程序：见投标人须知前附表。</w:t>
      </w:r>
    </w:p>
    <w:p>
      <w:pPr>
        <w:spacing w:line="400" w:lineRule="exact"/>
        <w:rPr>
          <w:rFonts w:ascii="宋体" w:hAnsi="宋体" w:cs="宋体"/>
          <w:szCs w:val="21"/>
        </w:rPr>
      </w:pPr>
      <w:r>
        <w:rPr>
          <w:rFonts w:hint="eastAsia" w:ascii="宋体" w:hAnsi="宋体" w:cs="宋体"/>
          <w:szCs w:val="21"/>
        </w:rPr>
        <w:t>27、评标委员会的组建：见投标人须知前附表。</w:t>
      </w:r>
    </w:p>
    <w:p>
      <w:pPr>
        <w:spacing w:line="400" w:lineRule="exact"/>
        <w:ind w:firstLine="420" w:firstLineChars="200"/>
        <w:rPr>
          <w:rFonts w:ascii="宋体" w:hAnsi="宋体" w:cs="宋体"/>
          <w:szCs w:val="21"/>
        </w:rPr>
      </w:pPr>
      <w:r>
        <w:rPr>
          <w:rFonts w:hint="eastAsia" w:ascii="宋体" w:hAnsi="宋体" w:cs="宋体"/>
          <w:szCs w:val="21"/>
        </w:rPr>
        <w:t>27.1评审专家与参加采购活动的供应商存在下列利害关系之一的,应当回避:</w:t>
      </w:r>
    </w:p>
    <w:p>
      <w:pPr>
        <w:spacing w:line="400" w:lineRule="exact"/>
        <w:ind w:firstLine="420" w:firstLineChars="200"/>
        <w:rPr>
          <w:rFonts w:ascii="宋体" w:hAnsi="宋体" w:cs="宋体"/>
          <w:szCs w:val="21"/>
        </w:rPr>
      </w:pPr>
      <w:r>
        <w:rPr>
          <w:rFonts w:hint="eastAsia" w:ascii="宋体" w:hAnsi="宋体" w:cs="宋体"/>
          <w:szCs w:val="21"/>
        </w:rPr>
        <w:t>(一)参加采购活动前三年内,与供应商存在劳动关系,或者担任过供应商的董事、监事,或者是供应商的控股股东或实际控制人;</w:t>
      </w:r>
    </w:p>
    <w:p>
      <w:pPr>
        <w:spacing w:line="400" w:lineRule="exact"/>
        <w:ind w:firstLine="420" w:firstLineChars="200"/>
        <w:rPr>
          <w:rFonts w:ascii="宋体" w:hAnsi="宋体" w:cs="宋体"/>
          <w:szCs w:val="21"/>
        </w:rPr>
      </w:pPr>
      <w:r>
        <w:rPr>
          <w:rFonts w:hint="eastAsia" w:ascii="宋体" w:hAnsi="宋体" w:cs="宋体"/>
          <w:szCs w:val="21"/>
        </w:rPr>
        <w:t>(二)与供应商的法定代表人或者负责人有夫妻、直系血亲、三代以内旁系血亲或者近姻亲关系;</w:t>
      </w:r>
    </w:p>
    <w:p>
      <w:pPr>
        <w:spacing w:line="400" w:lineRule="exact"/>
        <w:ind w:firstLine="420" w:firstLineChars="200"/>
        <w:rPr>
          <w:rFonts w:ascii="宋体" w:hAnsi="宋体" w:cs="宋体"/>
          <w:szCs w:val="21"/>
        </w:rPr>
      </w:pPr>
      <w:r>
        <w:rPr>
          <w:rFonts w:hint="eastAsia" w:ascii="宋体" w:hAnsi="宋体" w:cs="宋体"/>
          <w:szCs w:val="21"/>
        </w:rPr>
        <w:t>(三)与供应商有其他可能影响政府采购活动公平、公正进行的关系。</w:t>
      </w:r>
    </w:p>
    <w:p>
      <w:pPr>
        <w:spacing w:line="400" w:lineRule="exact"/>
        <w:ind w:firstLine="420" w:firstLineChars="200"/>
        <w:rPr>
          <w:rFonts w:ascii="宋体" w:hAnsi="宋体" w:cs="宋体"/>
          <w:szCs w:val="21"/>
        </w:rPr>
      </w:pPr>
      <w:r>
        <w:rPr>
          <w:rFonts w:hint="eastAsia" w:ascii="宋体" w:hAnsi="宋体" w:cs="宋体"/>
          <w:szCs w:val="21"/>
        </w:rPr>
        <w:t>27.2评审专家发现本人与参加采购活动的供应商有利害关系的,应当主动提出回避。采购人或者采购代理机构发现评审专家与参加采购活动的供应商有利害关系的,应当要求其回避。</w:t>
      </w:r>
    </w:p>
    <w:p>
      <w:pPr>
        <w:spacing w:line="400" w:lineRule="exact"/>
        <w:ind w:firstLine="420" w:firstLineChars="200"/>
        <w:rPr>
          <w:rFonts w:ascii="宋体" w:hAnsi="宋体" w:cs="宋体"/>
          <w:szCs w:val="21"/>
        </w:rPr>
      </w:pPr>
      <w:r>
        <w:rPr>
          <w:rFonts w:hint="eastAsia" w:ascii="宋体" w:hAnsi="宋体" w:cs="宋体"/>
          <w:szCs w:val="21"/>
        </w:rPr>
        <w:t>27.3除《政府采购评审专家管理办法》第十三条规定的情形外,评审专家对本单位的政府采购项目只能作为采购人代表参与评审活动。</w:t>
      </w:r>
    </w:p>
    <w:p>
      <w:pPr>
        <w:spacing w:line="400" w:lineRule="exact"/>
        <w:ind w:firstLine="420" w:firstLineChars="200"/>
        <w:rPr>
          <w:rFonts w:ascii="宋体" w:hAnsi="宋体" w:cs="宋体"/>
          <w:szCs w:val="21"/>
        </w:rPr>
      </w:pPr>
      <w:r>
        <w:rPr>
          <w:rFonts w:hint="eastAsia" w:ascii="宋体" w:hAnsi="宋体" w:cs="宋体"/>
          <w:szCs w:val="21"/>
        </w:rPr>
        <w:t>27.4各级财政部门政府采购监督管理工作人员,不得作为评审专家参与政府采购项目的评审活动。</w:t>
      </w:r>
    </w:p>
    <w:p>
      <w:pPr>
        <w:spacing w:line="400" w:lineRule="exact"/>
        <w:ind w:firstLine="420" w:firstLineChars="200"/>
      </w:pPr>
      <w:r>
        <w:rPr>
          <w:rFonts w:hint="eastAsia" w:ascii="宋体" w:hAnsi="宋体" w:cs="宋体"/>
          <w:szCs w:val="21"/>
        </w:rPr>
        <w:t>27.5评标原则：评标活动遵循公平、公正、科学和择优的原则。</w:t>
      </w:r>
    </w:p>
    <w:p>
      <w:pPr>
        <w:spacing w:line="400" w:lineRule="exact"/>
        <w:rPr>
          <w:rFonts w:ascii="宋体" w:hAnsi="宋体" w:cs="宋体"/>
          <w:szCs w:val="21"/>
        </w:rPr>
      </w:pPr>
      <w:r>
        <w:rPr>
          <w:rFonts w:hint="eastAsia" w:ascii="宋体" w:hAnsi="宋体" w:cs="宋体"/>
          <w:szCs w:val="21"/>
        </w:rPr>
        <w:t>28、是否授权评标委会确定中标人：见投标人须知前附表。</w:t>
      </w:r>
    </w:p>
    <w:p>
      <w:pPr>
        <w:spacing w:line="400" w:lineRule="exact"/>
        <w:rPr>
          <w:rFonts w:ascii="宋体" w:hAnsi="宋体" w:cs="宋体"/>
          <w:szCs w:val="21"/>
        </w:rPr>
      </w:pPr>
      <w:r>
        <w:rPr>
          <w:rFonts w:hint="eastAsia" w:ascii="宋体" w:hAnsi="宋体" w:cs="宋体"/>
          <w:szCs w:val="21"/>
        </w:rPr>
        <w:t>29、接收质疑函的方式和联系方式：见投标人须知前附表。</w:t>
      </w:r>
    </w:p>
    <w:p>
      <w:pPr>
        <w:spacing w:line="400" w:lineRule="exact"/>
        <w:rPr>
          <w:rFonts w:ascii="宋体" w:hAnsi="宋体" w:cs="宋体"/>
          <w:szCs w:val="21"/>
        </w:rPr>
      </w:pPr>
      <w:r>
        <w:rPr>
          <w:rFonts w:hint="eastAsia" w:ascii="宋体" w:hAnsi="宋体" w:cs="宋体"/>
          <w:szCs w:val="21"/>
        </w:rPr>
        <w:t>30、最高投标限价：见投标人须知前附表。</w:t>
      </w:r>
    </w:p>
    <w:p>
      <w:pPr>
        <w:spacing w:line="400" w:lineRule="exact"/>
        <w:rPr>
          <w:rFonts w:ascii="宋体" w:hAnsi="宋体" w:cs="宋体"/>
          <w:szCs w:val="21"/>
        </w:rPr>
      </w:pPr>
      <w:r>
        <w:rPr>
          <w:rFonts w:hint="eastAsia" w:ascii="宋体" w:hAnsi="宋体" w:cs="宋体"/>
          <w:szCs w:val="21"/>
        </w:rPr>
        <w:t>31、招标代理服务费：见投标人须知前附表。</w:t>
      </w:r>
    </w:p>
    <w:p>
      <w:pPr>
        <w:spacing w:line="400" w:lineRule="exact"/>
        <w:rPr>
          <w:rFonts w:ascii="宋体" w:hAnsi="宋体" w:cs="宋体"/>
          <w:szCs w:val="21"/>
        </w:rPr>
      </w:pPr>
      <w:r>
        <w:rPr>
          <w:rFonts w:hint="eastAsia" w:ascii="宋体" w:hAnsi="宋体" w:cs="宋体"/>
          <w:szCs w:val="21"/>
        </w:rPr>
        <w:t>32、付款方式：见投标人须知前附表。</w:t>
      </w:r>
    </w:p>
    <w:p>
      <w:pPr>
        <w:spacing w:line="400" w:lineRule="exact"/>
        <w:rPr>
          <w:rFonts w:ascii="宋体" w:hAnsi="宋体" w:cs="宋体"/>
          <w:szCs w:val="21"/>
        </w:rPr>
      </w:pPr>
      <w:r>
        <w:rPr>
          <w:rFonts w:hint="eastAsia" w:ascii="宋体" w:hAnsi="宋体" w:cs="宋体"/>
          <w:szCs w:val="21"/>
        </w:rPr>
        <w:t>33、政采领域优化营商环境相关政策：见投标人须知前附表。</w:t>
      </w:r>
    </w:p>
    <w:p>
      <w:pPr>
        <w:spacing w:line="400" w:lineRule="exact"/>
        <w:rPr>
          <w:rFonts w:ascii="宋体" w:hAnsi="宋体" w:cs="宋体"/>
          <w:szCs w:val="21"/>
        </w:rPr>
      </w:pPr>
      <w:r>
        <w:rPr>
          <w:rFonts w:hint="eastAsia" w:ascii="宋体" w:hAnsi="宋体" w:cs="宋体"/>
          <w:szCs w:val="21"/>
        </w:rPr>
        <w:t>34、落实绿色产品（节能产品、环境标志产品）优先采购政策：见投标人须知前附表。</w:t>
      </w:r>
    </w:p>
    <w:p>
      <w:pPr>
        <w:spacing w:line="400" w:lineRule="exact"/>
        <w:rPr>
          <w:rFonts w:ascii="宋体" w:hAnsi="宋体" w:cs="宋体"/>
          <w:szCs w:val="21"/>
        </w:rPr>
      </w:pPr>
      <w:r>
        <w:rPr>
          <w:rFonts w:hint="eastAsia" w:ascii="宋体" w:hAnsi="宋体" w:cs="宋体"/>
          <w:szCs w:val="21"/>
        </w:rPr>
        <w:t>35、本项目所属行业：见投标人须知前附表。</w:t>
      </w:r>
    </w:p>
    <w:p>
      <w:pPr>
        <w:pStyle w:val="4"/>
        <w:rPr>
          <w:rFonts w:ascii="宋体" w:hAnsi="宋体" w:cs="宋体"/>
          <w:sz w:val="21"/>
          <w:szCs w:val="21"/>
        </w:rPr>
      </w:pPr>
      <w:bookmarkStart w:id="62" w:name="_Toc420960304"/>
      <w:bookmarkStart w:id="63" w:name="_Toc15489"/>
      <w:bookmarkStart w:id="64" w:name="_Toc420960217"/>
      <w:bookmarkStart w:id="65" w:name="_Toc420960507"/>
      <w:bookmarkStart w:id="66" w:name="_Toc512597509"/>
      <w:bookmarkStart w:id="67" w:name="_Toc247639843"/>
      <w:bookmarkStart w:id="68" w:name="_Toc420960596"/>
      <w:r>
        <w:rPr>
          <w:rFonts w:hint="eastAsia" w:ascii="宋体" w:hAnsi="宋体" w:cs="宋体"/>
          <w:sz w:val="21"/>
          <w:szCs w:val="21"/>
        </w:rPr>
        <w:t>36、其它</w:t>
      </w:r>
    </w:p>
    <w:bookmarkEnd w:id="62"/>
    <w:bookmarkEnd w:id="63"/>
    <w:bookmarkEnd w:id="64"/>
    <w:bookmarkEnd w:id="65"/>
    <w:bookmarkEnd w:id="66"/>
    <w:bookmarkEnd w:id="67"/>
    <w:bookmarkEnd w:id="68"/>
    <w:p>
      <w:pPr>
        <w:pStyle w:val="4"/>
        <w:rPr>
          <w:rFonts w:ascii="宋体" w:hAnsi="宋体" w:cs="宋体"/>
          <w:sz w:val="21"/>
          <w:szCs w:val="21"/>
        </w:rPr>
      </w:pPr>
      <w:bookmarkStart w:id="69" w:name="_Toc410287381"/>
      <w:bookmarkStart w:id="70" w:name="_Toc179632552"/>
      <w:bookmarkStart w:id="71" w:name="_Toc512597510"/>
      <w:bookmarkStart w:id="72" w:name="_Toc152042311"/>
      <w:bookmarkStart w:id="73" w:name="_Toc296602425"/>
      <w:bookmarkStart w:id="74" w:name="_Toc246996923"/>
      <w:bookmarkStart w:id="75" w:name="_Toc246996180"/>
      <w:bookmarkStart w:id="76" w:name="_Toc152045535"/>
      <w:bookmarkStart w:id="77" w:name="_Toc144974503"/>
      <w:bookmarkStart w:id="78" w:name="_Toc30846"/>
      <w:bookmarkStart w:id="79" w:name="_Toc247085694"/>
      <w:r>
        <w:rPr>
          <w:rFonts w:hint="eastAsia" w:ascii="宋体" w:hAnsi="宋体" w:cs="宋体"/>
          <w:sz w:val="21"/>
          <w:szCs w:val="21"/>
        </w:rPr>
        <w:t>36.1费用承担</w:t>
      </w:r>
      <w:bookmarkEnd w:id="69"/>
      <w:bookmarkEnd w:id="70"/>
      <w:bookmarkEnd w:id="71"/>
      <w:bookmarkEnd w:id="72"/>
      <w:bookmarkEnd w:id="73"/>
      <w:bookmarkEnd w:id="74"/>
      <w:bookmarkEnd w:id="75"/>
      <w:bookmarkEnd w:id="76"/>
      <w:bookmarkEnd w:id="77"/>
      <w:bookmarkEnd w:id="78"/>
      <w:bookmarkEnd w:id="79"/>
    </w:p>
    <w:p>
      <w:pPr>
        <w:spacing w:line="400" w:lineRule="exact"/>
        <w:ind w:firstLine="420" w:firstLineChars="200"/>
        <w:rPr>
          <w:rFonts w:ascii="宋体" w:hAnsi="宋体" w:cs="宋体"/>
          <w:szCs w:val="21"/>
        </w:rPr>
      </w:pPr>
      <w:r>
        <w:rPr>
          <w:rFonts w:hint="eastAsia" w:ascii="宋体" w:hAnsi="宋体" w:cs="宋体"/>
          <w:szCs w:val="21"/>
        </w:rPr>
        <w:t>投标人准备和参加投标活动发生的费用自理。</w:t>
      </w:r>
    </w:p>
    <w:p>
      <w:pPr>
        <w:pStyle w:val="4"/>
        <w:rPr>
          <w:rFonts w:ascii="宋体" w:hAnsi="宋体" w:cs="宋体"/>
          <w:sz w:val="21"/>
          <w:szCs w:val="21"/>
        </w:rPr>
      </w:pPr>
      <w:bookmarkStart w:id="80" w:name="_Toc152045536"/>
      <w:bookmarkStart w:id="81" w:name="_Toc247085695"/>
      <w:bookmarkStart w:id="82" w:name="_Toc246996924"/>
      <w:bookmarkStart w:id="83" w:name="_Toc179632553"/>
      <w:bookmarkStart w:id="84" w:name="_Toc512597511"/>
      <w:bookmarkStart w:id="85" w:name="_Toc246996181"/>
      <w:bookmarkStart w:id="86" w:name="_Toc410287382"/>
      <w:bookmarkStart w:id="87" w:name="_Toc296602426"/>
      <w:bookmarkStart w:id="88" w:name="_Toc152042312"/>
      <w:bookmarkStart w:id="89" w:name="_Toc11754"/>
      <w:bookmarkStart w:id="90" w:name="_Toc144974504"/>
      <w:r>
        <w:rPr>
          <w:rFonts w:hint="eastAsia" w:ascii="宋体" w:hAnsi="宋体" w:cs="宋体"/>
          <w:sz w:val="21"/>
          <w:szCs w:val="21"/>
        </w:rPr>
        <w:t>36.2保密</w:t>
      </w:r>
      <w:bookmarkEnd w:id="80"/>
      <w:bookmarkEnd w:id="81"/>
      <w:bookmarkEnd w:id="82"/>
      <w:bookmarkEnd w:id="83"/>
      <w:bookmarkEnd w:id="84"/>
      <w:bookmarkEnd w:id="85"/>
      <w:bookmarkEnd w:id="86"/>
      <w:bookmarkEnd w:id="87"/>
      <w:bookmarkEnd w:id="88"/>
      <w:bookmarkEnd w:id="89"/>
      <w:bookmarkEnd w:id="90"/>
    </w:p>
    <w:p>
      <w:pPr>
        <w:spacing w:line="400" w:lineRule="exact"/>
        <w:ind w:firstLine="420" w:firstLineChars="200"/>
        <w:rPr>
          <w:rFonts w:ascii="宋体" w:hAnsi="宋体" w:cs="宋体"/>
          <w:szCs w:val="21"/>
        </w:rPr>
      </w:pPr>
      <w:r>
        <w:rPr>
          <w:rFonts w:hint="eastAsia" w:ascii="宋体" w:hAnsi="宋体" w:cs="宋体"/>
          <w:szCs w:val="21"/>
        </w:rPr>
        <w:t xml:space="preserve">参与招标投标活动的各方应对招标文件和投标文件中的商业和技术等秘密保密，违者应对由此造成的后果承担法律责任。 </w:t>
      </w:r>
    </w:p>
    <w:p>
      <w:pPr>
        <w:pStyle w:val="4"/>
        <w:rPr>
          <w:rFonts w:ascii="宋体" w:hAnsi="宋体" w:cs="宋体"/>
          <w:sz w:val="21"/>
          <w:szCs w:val="21"/>
        </w:rPr>
      </w:pPr>
      <w:bookmarkStart w:id="91" w:name="_Toc144974505"/>
      <w:bookmarkStart w:id="92" w:name="_Toc12852"/>
      <w:bookmarkStart w:id="93" w:name="_Toc296602427"/>
      <w:bookmarkStart w:id="94" w:name="_Toc246996182"/>
      <w:bookmarkStart w:id="95" w:name="_Toc152042313"/>
      <w:bookmarkStart w:id="96" w:name="_Toc247085696"/>
      <w:bookmarkStart w:id="97" w:name="_Toc179632554"/>
      <w:bookmarkStart w:id="98" w:name="_Toc246996925"/>
      <w:bookmarkStart w:id="99" w:name="_Toc512597512"/>
      <w:bookmarkStart w:id="100" w:name="_Toc410287383"/>
      <w:bookmarkStart w:id="101" w:name="_Toc152045537"/>
      <w:r>
        <w:rPr>
          <w:rFonts w:hint="eastAsia" w:ascii="宋体" w:hAnsi="宋体" w:cs="宋体"/>
          <w:sz w:val="21"/>
          <w:szCs w:val="21"/>
        </w:rPr>
        <w:t>36.7 语言</w:t>
      </w:r>
      <w:bookmarkEnd w:id="91"/>
      <w:r>
        <w:rPr>
          <w:rFonts w:hint="eastAsia" w:ascii="宋体" w:hAnsi="宋体" w:cs="宋体"/>
          <w:sz w:val="21"/>
          <w:szCs w:val="21"/>
        </w:rPr>
        <w:t>文字</w:t>
      </w:r>
      <w:bookmarkEnd w:id="92"/>
      <w:bookmarkEnd w:id="93"/>
      <w:bookmarkEnd w:id="94"/>
      <w:bookmarkEnd w:id="95"/>
      <w:bookmarkEnd w:id="96"/>
      <w:bookmarkEnd w:id="97"/>
      <w:bookmarkEnd w:id="98"/>
      <w:bookmarkEnd w:id="99"/>
      <w:bookmarkEnd w:id="100"/>
      <w:bookmarkEnd w:id="101"/>
    </w:p>
    <w:p>
      <w:pPr>
        <w:spacing w:line="400" w:lineRule="exact"/>
        <w:ind w:firstLine="420" w:firstLineChars="200"/>
        <w:rPr>
          <w:rFonts w:ascii="宋体" w:hAnsi="宋体" w:cs="宋体"/>
          <w:szCs w:val="21"/>
        </w:rPr>
      </w:pPr>
      <w:bookmarkStart w:id="102" w:name="_Toc246996926"/>
      <w:bookmarkStart w:id="103" w:name="_Toc246996183"/>
      <w:bookmarkStart w:id="104" w:name="_Toc152042314"/>
      <w:bookmarkStart w:id="105" w:name="_Toc144974506"/>
      <w:bookmarkStart w:id="106" w:name="_Toc247085697"/>
      <w:bookmarkStart w:id="107" w:name="_Toc179632555"/>
      <w:bookmarkStart w:id="108" w:name="_Toc152045538"/>
      <w:r>
        <w:rPr>
          <w:rFonts w:hint="eastAsia" w:ascii="宋体" w:hAnsi="宋体" w:cs="宋体"/>
          <w:szCs w:val="21"/>
        </w:rPr>
        <w:t>招标投标文件使用的语言文字为中文。专业技术术语允许使用外文，但应附有中文翻译。</w:t>
      </w:r>
    </w:p>
    <w:p>
      <w:pPr>
        <w:pStyle w:val="4"/>
        <w:rPr>
          <w:rFonts w:ascii="宋体" w:hAnsi="宋体" w:cs="宋体"/>
          <w:sz w:val="21"/>
          <w:szCs w:val="21"/>
        </w:rPr>
      </w:pPr>
      <w:bookmarkStart w:id="109" w:name="_Toc512597513"/>
      <w:bookmarkStart w:id="110" w:name="_Toc410287384"/>
      <w:bookmarkStart w:id="111" w:name="_Toc296602428"/>
      <w:bookmarkStart w:id="112" w:name="_Toc21912"/>
      <w:r>
        <w:rPr>
          <w:rFonts w:hint="eastAsia" w:ascii="宋体" w:hAnsi="宋体" w:cs="宋体"/>
          <w:sz w:val="21"/>
          <w:szCs w:val="21"/>
        </w:rPr>
        <w:t>36.8计量单位</w:t>
      </w:r>
      <w:bookmarkEnd w:id="102"/>
      <w:bookmarkEnd w:id="103"/>
      <w:bookmarkEnd w:id="104"/>
      <w:bookmarkEnd w:id="105"/>
      <w:bookmarkEnd w:id="106"/>
      <w:bookmarkEnd w:id="107"/>
      <w:bookmarkEnd w:id="108"/>
      <w:bookmarkEnd w:id="109"/>
      <w:bookmarkEnd w:id="110"/>
      <w:bookmarkEnd w:id="111"/>
      <w:bookmarkEnd w:id="112"/>
    </w:p>
    <w:p>
      <w:pPr>
        <w:spacing w:line="400" w:lineRule="exact"/>
        <w:ind w:firstLine="420" w:firstLineChars="200"/>
        <w:rPr>
          <w:rFonts w:ascii="宋体" w:hAnsi="宋体" w:cs="宋体"/>
          <w:kern w:val="0"/>
          <w:szCs w:val="21"/>
        </w:rPr>
      </w:pPr>
      <w:r>
        <w:rPr>
          <w:rFonts w:hint="eastAsia" w:ascii="宋体" w:hAnsi="宋体" w:cs="宋体"/>
          <w:szCs w:val="21"/>
        </w:rPr>
        <w:t>所有计量均采用中华人民共和国法定计量单位。</w:t>
      </w:r>
    </w:p>
    <w:p>
      <w:pPr>
        <w:pStyle w:val="4"/>
        <w:rPr>
          <w:rFonts w:ascii="宋体" w:hAnsi="宋体" w:cs="宋体"/>
          <w:sz w:val="21"/>
          <w:szCs w:val="21"/>
        </w:rPr>
      </w:pPr>
      <w:bookmarkStart w:id="113" w:name="_Toc8071"/>
      <w:bookmarkStart w:id="114" w:name="_Toc296602438"/>
      <w:bookmarkStart w:id="115" w:name="_Toc152042324"/>
      <w:bookmarkStart w:id="116" w:name="_Toc247085707"/>
      <w:bookmarkStart w:id="117" w:name="_Toc246996936"/>
      <w:bookmarkStart w:id="118" w:name="_Toc144974516"/>
      <w:bookmarkStart w:id="119" w:name="_Toc152045548"/>
      <w:bookmarkStart w:id="120" w:name="_Toc179632566"/>
      <w:bookmarkStart w:id="121" w:name="_Toc246996193"/>
      <w:bookmarkStart w:id="122" w:name="_Toc512597524"/>
      <w:r>
        <w:rPr>
          <w:rFonts w:hint="eastAsia" w:ascii="宋体" w:hAnsi="宋体" w:cs="宋体"/>
          <w:sz w:val="21"/>
          <w:szCs w:val="21"/>
        </w:rPr>
        <w:t>36.9投标报价</w:t>
      </w:r>
      <w:bookmarkEnd w:id="113"/>
      <w:bookmarkEnd w:id="114"/>
      <w:bookmarkEnd w:id="115"/>
      <w:bookmarkEnd w:id="116"/>
      <w:bookmarkEnd w:id="117"/>
      <w:bookmarkEnd w:id="118"/>
      <w:bookmarkEnd w:id="119"/>
      <w:bookmarkEnd w:id="120"/>
      <w:bookmarkEnd w:id="121"/>
      <w:bookmarkEnd w:id="122"/>
    </w:p>
    <w:p>
      <w:pPr>
        <w:spacing w:line="400" w:lineRule="exact"/>
        <w:ind w:firstLine="420" w:firstLineChars="200"/>
        <w:rPr>
          <w:rFonts w:ascii="宋体" w:hAnsi="宋体" w:cs="宋体"/>
          <w:szCs w:val="21"/>
        </w:rPr>
      </w:pPr>
      <w:bookmarkStart w:id="123" w:name="_Toc179632567"/>
      <w:bookmarkStart w:id="124" w:name="_Toc144974517"/>
      <w:bookmarkStart w:id="125" w:name="_Toc152045549"/>
      <w:bookmarkStart w:id="126" w:name="_Toc152042325"/>
      <w:r>
        <w:rPr>
          <w:rFonts w:hint="eastAsia" w:ascii="宋体" w:hAnsi="宋体" w:cs="宋体"/>
          <w:szCs w:val="21"/>
        </w:rPr>
        <w:t>36.9.1投标报价为固定总报价，包含为履行合同义务与之相关的一切费用。</w:t>
      </w:r>
    </w:p>
    <w:p>
      <w:pPr>
        <w:spacing w:line="400" w:lineRule="exact"/>
        <w:ind w:firstLine="420" w:firstLineChars="200"/>
        <w:rPr>
          <w:rFonts w:ascii="宋体" w:hAnsi="宋体" w:cs="宋体"/>
          <w:szCs w:val="21"/>
        </w:rPr>
      </w:pPr>
      <w:r>
        <w:rPr>
          <w:rFonts w:hint="eastAsia" w:ascii="宋体" w:hAnsi="宋体" w:cs="宋体"/>
          <w:szCs w:val="21"/>
        </w:rPr>
        <w:t>36.9.2投标文件报价出现前后不一致的，除招标文件另有规定外，按照下列规定修正：</w:t>
      </w:r>
    </w:p>
    <w:p>
      <w:pPr>
        <w:spacing w:line="400" w:lineRule="exact"/>
        <w:ind w:firstLine="420" w:firstLineChars="200"/>
        <w:rPr>
          <w:rFonts w:ascii="宋体" w:hAnsi="宋体" w:cs="宋体"/>
          <w:szCs w:val="21"/>
        </w:rPr>
      </w:pPr>
      <w:r>
        <w:rPr>
          <w:rFonts w:hint="eastAsia" w:ascii="宋体" w:hAnsi="宋体" w:cs="宋体"/>
          <w:szCs w:val="21"/>
        </w:rPr>
        <w:t>　　（一）投标文件中开标一览表（报价表）内容与投标文件中相应内容不一致的，以开标一览表（报价表）为准；</w:t>
      </w:r>
    </w:p>
    <w:p>
      <w:pPr>
        <w:spacing w:line="400" w:lineRule="exact"/>
        <w:ind w:firstLine="420" w:firstLineChars="200"/>
        <w:rPr>
          <w:rFonts w:ascii="宋体" w:hAnsi="宋体" w:cs="宋体"/>
          <w:szCs w:val="21"/>
        </w:rPr>
      </w:pPr>
      <w:r>
        <w:rPr>
          <w:rFonts w:hint="eastAsia" w:ascii="宋体" w:hAnsi="宋体" w:cs="宋体"/>
          <w:szCs w:val="21"/>
        </w:rPr>
        <w:t>　　（二）大写金额和小写金额不一致的，以大写金额为准；</w:t>
      </w:r>
    </w:p>
    <w:p>
      <w:pPr>
        <w:spacing w:line="400" w:lineRule="exact"/>
        <w:ind w:firstLine="420" w:firstLineChars="200"/>
        <w:rPr>
          <w:rFonts w:ascii="宋体" w:hAnsi="宋体" w:cs="宋体"/>
          <w:szCs w:val="21"/>
        </w:rPr>
      </w:pPr>
      <w:r>
        <w:rPr>
          <w:rFonts w:hint="eastAsia" w:ascii="宋体" w:hAnsi="宋体" w:cs="宋体"/>
          <w:szCs w:val="21"/>
        </w:rPr>
        <w:t>　　（三）单价金额小数点或者百分比有明显错位的，以开标一览表的总价为准，并修改单价；</w:t>
      </w:r>
    </w:p>
    <w:p>
      <w:pPr>
        <w:spacing w:line="400" w:lineRule="exact"/>
        <w:ind w:firstLine="420" w:firstLineChars="200"/>
        <w:rPr>
          <w:rFonts w:ascii="宋体" w:hAnsi="宋体" w:cs="宋体"/>
          <w:szCs w:val="21"/>
        </w:rPr>
      </w:pPr>
      <w:r>
        <w:rPr>
          <w:rFonts w:hint="eastAsia" w:ascii="宋体" w:hAnsi="宋体" w:cs="宋体"/>
          <w:szCs w:val="21"/>
        </w:rPr>
        <w:t>　　（四）总价金额与按单价汇总金额不一致的，以单价金额计算结果为准。</w:t>
      </w:r>
    </w:p>
    <w:p>
      <w:pPr>
        <w:spacing w:line="400" w:lineRule="exact"/>
        <w:ind w:firstLine="420" w:firstLineChars="200"/>
        <w:rPr>
          <w:rFonts w:ascii="宋体" w:hAnsi="宋体" w:cs="宋体"/>
          <w:szCs w:val="21"/>
        </w:rPr>
      </w:pPr>
      <w:r>
        <w:rPr>
          <w:rFonts w:hint="eastAsia" w:ascii="宋体" w:hAnsi="宋体" w:cs="宋体"/>
          <w:szCs w:val="21"/>
        </w:rPr>
        <w:t>同时出现两种以上不一致的，按照前款规定的顺序修正。修正后的报价按照本须知36.12.3款的规定经投标人确认后产生约束力，投标人不确认的，其投标无效。</w:t>
      </w:r>
    </w:p>
    <w:bookmarkEnd w:id="123"/>
    <w:bookmarkEnd w:id="124"/>
    <w:bookmarkEnd w:id="125"/>
    <w:bookmarkEnd w:id="126"/>
    <w:p>
      <w:pPr>
        <w:pStyle w:val="4"/>
        <w:spacing w:line="440" w:lineRule="exact"/>
        <w:rPr>
          <w:rFonts w:ascii="宋体" w:hAnsi="宋体" w:cs="宋体"/>
          <w:sz w:val="21"/>
          <w:szCs w:val="21"/>
        </w:rPr>
      </w:pPr>
      <w:bookmarkStart w:id="127" w:name="_Toc28498"/>
      <w:bookmarkStart w:id="128" w:name="_Toc296602442"/>
      <w:bookmarkStart w:id="129" w:name="_Toc512597529"/>
      <w:bookmarkStart w:id="130" w:name="_Toc144974521"/>
      <w:bookmarkStart w:id="131" w:name="_Toc247085711"/>
      <w:bookmarkStart w:id="132" w:name="_Toc152045553"/>
      <w:bookmarkStart w:id="133" w:name="_Toc246996940"/>
      <w:bookmarkStart w:id="134" w:name="_Toc246996197"/>
      <w:bookmarkStart w:id="135" w:name="_Toc179632571"/>
      <w:bookmarkStart w:id="136" w:name="_Toc152042329"/>
      <w:r>
        <w:rPr>
          <w:rFonts w:hint="eastAsia" w:ascii="宋体" w:hAnsi="宋体" w:cs="宋体"/>
          <w:sz w:val="21"/>
          <w:szCs w:val="21"/>
        </w:rPr>
        <w:t>36.10投标文件的编制</w:t>
      </w:r>
      <w:bookmarkEnd w:id="127"/>
      <w:bookmarkEnd w:id="128"/>
      <w:bookmarkEnd w:id="129"/>
    </w:p>
    <w:p>
      <w:pPr>
        <w:spacing w:line="440" w:lineRule="exact"/>
        <w:ind w:firstLine="420" w:firstLineChars="200"/>
        <w:rPr>
          <w:rFonts w:ascii="宋体" w:hAnsi="宋体" w:cs="宋体"/>
          <w:szCs w:val="21"/>
        </w:rPr>
      </w:pPr>
      <w:r>
        <w:rPr>
          <w:rFonts w:hint="eastAsia" w:ascii="宋体" w:hAnsi="宋体" w:cs="宋体"/>
          <w:szCs w:val="21"/>
        </w:rPr>
        <w:t>36.10.1投标文件应按第六章“投标文件格式”进行编写，如有必要，可以增加附页，作为投标文件的组成部分。其中，投标函附录在满足招标文件实质性要求的基础上，可以提出比招标文件要求更有利于采购人的承诺。</w:t>
      </w:r>
    </w:p>
    <w:p>
      <w:pPr>
        <w:spacing w:line="440" w:lineRule="exact"/>
        <w:ind w:firstLine="420" w:firstLineChars="200"/>
        <w:rPr>
          <w:rFonts w:ascii="宋体" w:hAnsi="宋体" w:cs="宋体"/>
          <w:szCs w:val="21"/>
        </w:rPr>
      </w:pPr>
      <w:r>
        <w:rPr>
          <w:rFonts w:hint="eastAsia" w:ascii="宋体" w:hAnsi="宋体" w:cs="宋体"/>
          <w:szCs w:val="21"/>
        </w:rPr>
        <w:t>36.10.2投标文件应当对招标文件有关服务期限、投标有效期、服务要求、采购需求、采购范围等实质性内容作出响应。</w:t>
      </w:r>
    </w:p>
    <w:bookmarkEnd w:id="130"/>
    <w:bookmarkEnd w:id="131"/>
    <w:bookmarkEnd w:id="132"/>
    <w:bookmarkEnd w:id="133"/>
    <w:bookmarkEnd w:id="134"/>
    <w:bookmarkEnd w:id="135"/>
    <w:bookmarkEnd w:id="136"/>
    <w:p>
      <w:pPr>
        <w:pStyle w:val="4"/>
        <w:spacing w:line="400" w:lineRule="exact"/>
        <w:rPr>
          <w:rFonts w:ascii="宋体" w:hAnsi="宋体" w:cs="宋体"/>
          <w:sz w:val="21"/>
          <w:szCs w:val="21"/>
        </w:rPr>
      </w:pPr>
      <w:bookmarkStart w:id="137" w:name="_Toc152042333"/>
      <w:bookmarkStart w:id="138" w:name="_Toc25042"/>
      <w:bookmarkStart w:id="139" w:name="_Toc246996201"/>
      <w:bookmarkStart w:id="140" w:name="_Toc179632575"/>
      <w:bookmarkStart w:id="141" w:name="_Toc152045557"/>
      <w:bookmarkStart w:id="142" w:name="_Toc246996944"/>
      <w:bookmarkStart w:id="143" w:name="_Toc512597532"/>
      <w:bookmarkStart w:id="144" w:name="_Toc247085715"/>
      <w:bookmarkStart w:id="145" w:name="_Toc296602445"/>
      <w:bookmarkStart w:id="146" w:name="_Toc144974525"/>
      <w:r>
        <w:rPr>
          <w:rFonts w:hint="eastAsia" w:ascii="宋体" w:hAnsi="宋体" w:cs="宋体"/>
          <w:sz w:val="21"/>
          <w:szCs w:val="21"/>
        </w:rPr>
        <w:t>36.11投标文件的递交</w:t>
      </w:r>
      <w:bookmarkEnd w:id="137"/>
      <w:bookmarkEnd w:id="138"/>
      <w:bookmarkEnd w:id="139"/>
      <w:bookmarkEnd w:id="140"/>
      <w:bookmarkEnd w:id="141"/>
      <w:bookmarkEnd w:id="142"/>
      <w:bookmarkEnd w:id="143"/>
      <w:bookmarkEnd w:id="144"/>
      <w:bookmarkEnd w:id="145"/>
      <w:bookmarkEnd w:id="146"/>
    </w:p>
    <w:p>
      <w:pPr>
        <w:autoSpaceDE w:val="0"/>
        <w:autoSpaceDN w:val="0"/>
        <w:adjustRightInd w:val="0"/>
        <w:spacing w:line="360" w:lineRule="auto"/>
        <w:ind w:firstLine="539" w:firstLineChars="257"/>
        <w:jc w:val="left"/>
        <w:rPr>
          <w:rFonts w:ascii="宋体" w:hAnsi="宋体" w:cs="宋体"/>
          <w:kern w:val="0"/>
          <w:szCs w:val="21"/>
        </w:rPr>
      </w:pPr>
      <w:bookmarkStart w:id="147" w:name="_Toc152045558"/>
      <w:bookmarkStart w:id="148" w:name="_Toc512597533"/>
      <w:bookmarkStart w:id="149" w:name="_Toc246996202"/>
      <w:bookmarkStart w:id="150" w:name="_Toc179632576"/>
      <w:bookmarkStart w:id="151" w:name="_Toc247085716"/>
      <w:bookmarkStart w:id="152" w:name="_Toc296602446"/>
      <w:bookmarkStart w:id="153" w:name="_Toc246996945"/>
      <w:bookmarkStart w:id="154" w:name="_Toc152042334"/>
      <w:bookmarkStart w:id="155" w:name="_Toc144974526"/>
      <w:r>
        <w:rPr>
          <w:rFonts w:hint="eastAsia" w:ascii="宋体" w:hAnsi="宋体" w:cs="宋体"/>
          <w:kern w:val="0"/>
          <w:szCs w:val="21"/>
        </w:rPr>
        <w:t>36.11.1 网上投标上传的电子投标文件应使用CA数字证书认证并加密，上传时必须得到电脑“上传成功”的确认，未按要求加密和CA数字证书认证的投标文件，将被视为无效投标文件，其投标文件将被拒绝，采购人不予受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36.11.2投标人应在本章规定的投标截止时间前递交投标文件。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36.11.3除投标人须知前附表另有规定外，投标人所递交的投标文件不予退还。</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36.11.4逾期上传的投标文件，采购人不予受理。</w:t>
      </w:r>
    </w:p>
    <w:p>
      <w:pPr>
        <w:pStyle w:val="4"/>
        <w:rPr>
          <w:rFonts w:ascii="宋体" w:hAnsi="宋体" w:cs="宋体"/>
          <w:sz w:val="21"/>
          <w:szCs w:val="21"/>
        </w:rPr>
      </w:pPr>
      <w:bookmarkStart w:id="156" w:name="_Toc30108"/>
      <w:r>
        <w:rPr>
          <w:rFonts w:hint="eastAsia" w:ascii="宋体" w:hAnsi="宋体" w:cs="宋体"/>
          <w:sz w:val="21"/>
          <w:szCs w:val="21"/>
        </w:rPr>
        <w:t>36.12投标文件的修改与撤回</w:t>
      </w:r>
      <w:bookmarkEnd w:id="147"/>
      <w:bookmarkEnd w:id="148"/>
      <w:bookmarkEnd w:id="149"/>
      <w:bookmarkEnd w:id="150"/>
      <w:bookmarkEnd w:id="151"/>
      <w:bookmarkEnd w:id="152"/>
      <w:bookmarkEnd w:id="153"/>
      <w:bookmarkEnd w:id="154"/>
      <w:bookmarkEnd w:id="155"/>
      <w:bookmarkEnd w:id="156"/>
    </w:p>
    <w:p>
      <w:pPr>
        <w:autoSpaceDE w:val="0"/>
        <w:autoSpaceDN w:val="0"/>
        <w:adjustRightInd w:val="0"/>
        <w:spacing w:line="360" w:lineRule="auto"/>
        <w:ind w:firstLine="539" w:firstLineChars="257"/>
        <w:jc w:val="left"/>
        <w:rPr>
          <w:rFonts w:ascii="宋体" w:hAnsi="宋体" w:cs="宋体"/>
          <w:kern w:val="0"/>
          <w:szCs w:val="21"/>
        </w:rPr>
      </w:pPr>
      <w:bookmarkStart w:id="157" w:name="_Toc144974527"/>
      <w:bookmarkStart w:id="158" w:name="_Toc179632577"/>
      <w:bookmarkStart w:id="159" w:name="_Toc152042335"/>
      <w:bookmarkStart w:id="160" w:name="_Toc512597534"/>
      <w:bookmarkStart w:id="161" w:name="_Toc152045559"/>
      <w:bookmarkStart w:id="162" w:name="_Toc246996946"/>
      <w:bookmarkStart w:id="163" w:name="_Toc246996203"/>
      <w:bookmarkStart w:id="164" w:name="_Toc296602447"/>
      <w:bookmarkStart w:id="165" w:name="_Toc247085717"/>
      <w:r>
        <w:rPr>
          <w:rFonts w:hint="eastAsia" w:ascii="宋体" w:hAnsi="宋体" w:cs="宋体"/>
          <w:kern w:val="0"/>
          <w:szCs w:val="21"/>
        </w:rPr>
        <w:t>36.12.1 在投标人须知前附表规定的投标截止时间前，投标人可以修改或撤回已递交的投标文件，最终投标文件以投标截止时间前完成上传至公共资源交易管理中心电子交易系统最后一份投标文件为准。</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36.12.2 投标截止时间之后，在投标有效期内，投标人不得撤回投标文件。</w:t>
      </w:r>
    </w:p>
    <w:p>
      <w:pPr>
        <w:autoSpaceDE w:val="0"/>
        <w:autoSpaceDN w:val="0"/>
        <w:adjustRightInd w:val="0"/>
        <w:spacing w:line="360" w:lineRule="auto"/>
        <w:ind w:firstLine="539" w:firstLineChars="257"/>
        <w:jc w:val="left"/>
        <w:rPr>
          <w:rFonts w:ascii="宋体" w:hAnsi="宋体" w:cs="宋体"/>
          <w:kern w:val="0"/>
          <w:szCs w:val="21"/>
        </w:rPr>
      </w:pPr>
      <w:r>
        <w:rPr>
          <w:rFonts w:hint="eastAsia" w:ascii="宋体" w:hAnsi="宋体" w:cs="宋体"/>
          <w:kern w:val="0"/>
          <w:szCs w:val="21"/>
        </w:rPr>
        <w:t>36.12.3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后上传至电子交易系统。投标人的澄清、说明或者补正不得超出投标文件的范围或者改变投标文件的实质性内容。</w:t>
      </w:r>
    </w:p>
    <w:bookmarkEnd w:id="157"/>
    <w:bookmarkEnd w:id="158"/>
    <w:bookmarkEnd w:id="159"/>
    <w:bookmarkEnd w:id="160"/>
    <w:bookmarkEnd w:id="161"/>
    <w:bookmarkEnd w:id="162"/>
    <w:bookmarkEnd w:id="163"/>
    <w:bookmarkEnd w:id="164"/>
    <w:bookmarkEnd w:id="165"/>
    <w:p>
      <w:pPr>
        <w:pStyle w:val="4"/>
        <w:rPr>
          <w:rFonts w:ascii="宋体" w:hAnsi="宋体" w:cs="宋体"/>
          <w:sz w:val="21"/>
          <w:szCs w:val="21"/>
        </w:rPr>
      </w:pPr>
      <w:bookmarkStart w:id="166" w:name="_Toc29792"/>
      <w:bookmarkStart w:id="167" w:name="_Toc296602454"/>
      <w:bookmarkStart w:id="168" w:name="_Toc179632583"/>
      <w:bookmarkStart w:id="169" w:name="_Toc152042341"/>
      <w:bookmarkStart w:id="170" w:name="_Toc152045565"/>
      <w:bookmarkStart w:id="171" w:name="_Toc246996952"/>
      <w:bookmarkStart w:id="172" w:name="_Toc144974533"/>
      <w:bookmarkStart w:id="173" w:name="_Toc512597540"/>
      <w:bookmarkStart w:id="174" w:name="_Toc246996209"/>
      <w:bookmarkStart w:id="175" w:name="_Toc247085723"/>
      <w:r>
        <w:rPr>
          <w:rFonts w:hint="eastAsia" w:ascii="宋体" w:hAnsi="宋体" w:cs="宋体"/>
          <w:sz w:val="21"/>
          <w:szCs w:val="21"/>
        </w:rPr>
        <w:t>36.13评标</w:t>
      </w:r>
      <w:bookmarkEnd w:id="166"/>
      <w:bookmarkEnd w:id="167"/>
      <w:bookmarkEnd w:id="168"/>
      <w:bookmarkEnd w:id="169"/>
      <w:bookmarkEnd w:id="170"/>
      <w:bookmarkEnd w:id="171"/>
      <w:bookmarkEnd w:id="172"/>
      <w:bookmarkEnd w:id="173"/>
      <w:bookmarkEnd w:id="174"/>
      <w:bookmarkEnd w:id="175"/>
    </w:p>
    <w:p>
      <w:pPr>
        <w:spacing w:line="400" w:lineRule="exact"/>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bookmarkStart w:id="176" w:name="_Toc152042342"/>
      <w:bookmarkStart w:id="177" w:name="_Toc246996210"/>
      <w:bookmarkStart w:id="178" w:name="_Toc247085724"/>
      <w:bookmarkStart w:id="179" w:name="_Toc296602455"/>
      <w:bookmarkStart w:id="180" w:name="_Toc152045566"/>
      <w:bookmarkStart w:id="181" w:name="_Toc179632584"/>
      <w:bookmarkStart w:id="182" w:name="_Toc144974534"/>
      <w:bookmarkStart w:id="183" w:name="_Toc246996953"/>
    </w:p>
    <w:bookmarkEnd w:id="176"/>
    <w:bookmarkEnd w:id="177"/>
    <w:bookmarkEnd w:id="178"/>
    <w:bookmarkEnd w:id="179"/>
    <w:bookmarkEnd w:id="180"/>
    <w:bookmarkEnd w:id="181"/>
    <w:bookmarkEnd w:id="182"/>
    <w:bookmarkEnd w:id="183"/>
    <w:p>
      <w:pPr>
        <w:pStyle w:val="4"/>
        <w:rPr>
          <w:rFonts w:ascii="宋体" w:hAnsi="宋体" w:cs="宋体"/>
          <w:sz w:val="21"/>
          <w:szCs w:val="21"/>
        </w:rPr>
      </w:pPr>
      <w:bookmarkStart w:id="184" w:name="_Toc512597543"/>
      <w:bookmarkStart w:id="185" w:name="_Toc296602457"/>
      <w:bookmarkStart w:id="186" w:name="_Toc6266"/>
      <w:r>
        <w:rPr>
          <w:rFonts w:hint="eastAsia" w:ascii="宋体" w:hAnsi="宋体" w:cs="宋体"/>
          <w:sz w:val="21"/>
          <w:szCs w:val="21"/>
        </w:rPr>
        <w:t>36.14中标结果公</w:t>
      </w:r>
      <w:bookmarkEnd w:id="184"/>
      <w:bookmarkEnd w:id="185"/>
      <w:r>
        <w:rPr>
          <w:rFonts w:hint="eastAsia" w:ascii="宋体" w:hAnsi="宋体" w:cs="宋体"/>
          <w:sz w:val="21"/>
          <w:szCs w:val="21"/>
        </w:rPr>
        <w:t>告</w:t>
      </w:r>
      <w:bookmarkEnd w:id="186"/>
    </w:p>
    <w:p>
      <w:pPr>
        <w:spacing w:line="400" w:lineRule="exact"/>
        <w:ind w:firstLine="420" w:firstLineChars="200"/>
        <w:rPr>
          <w:rFonts w:ascii="宋体" w:hAnsi="宋体" w:cs="宋体"/>
          <w:szCs w:val="21"/>
        </w:rPr>
      </w:pPr>
      <w:r>
        <w:rPr>
          <w:rFonts w:hint="eastAsia" w:ascii="宋体" w:hAnsi="宋体" w:cs="宋体"/>
          <w:szCs w:val="21"/>
        </w:rPr>
        <w:t>采购人在招标公告公布的媒介公示中标结果。</w:t>
      </w:r>
    </w:p>
    <w:p>
      <w:pPr>
        <w:pStyle w:val="4"/>
        <w:rPr>
          <w:rFonts w:ascii="宋体" w:hAnsi="宋体" w:cs="宋体"/>
          <w:sz w:val="21"/>
          <w:szCs w:val="21"/>
        </w:rPr>
      </w:pPr>
      <w:bookmarkStart w:id="187" w:name="_Toc152042344"/>
      <w:bookmarkStart w:id="188" w:name="_Toc144974536"/>
      <w:bookmarkStart w:id="189" w:name="_Toc179632586"/>
      <w:bookmarkStart w:id="190" w:name="_Toc247085726"/>
      <w:bookmarkStart w:id="191" w:name="_Toc152045568"/>
      <w:bookmarkStart w:id="192" w:name="_Toc296602458"/>
      <w:bookmarkStart w:id="193" w:name="_Toc246996212"/>
      <w:bookmarkStart w:id="194" w:name="_Toc512597544"/>
      <w:bookmarkStart w:id="195" w:name="_Toc24251"/>
      <w:bookmarkStart w:id="196" w:name="_Toc246996955"/>
      <w:r>
        <w:rPr>
          <w:rFonts w:hint="eastAsia" w:ascii="宋体" w:hAnsi="宋体" w:cs="宋体"/>
          <w:sz w:val="21"/>
          <w:szCs w:val="21"/>
        </w:rPr>
        <w:t>36.15 中标通知</w:t>
      </w:r>
      <w:bookmarkEnd w:id="187"/>
      <w:bookmarkEnd w:id="188"/>
      <w:bookmarkEnd w:id="189"/>
      <w:bookmarkEnd w:id="190"/>
      <w:bookmarkEnd w:id="191"/>
      <w:bookmarkEnd w:id="192"/>
      <w:bookmarkEnd w:id="193"/>
      <w:bookmarkEnd w:id="194"/>
      <w:bookmarkEnd w:id="195"/>
      <w:bookmarkEnd w:id="196"/>
    </w:p>
    <w:p>
      <w:pPr>
        <w:spacing w:line="400" w:lineRule="exact"/>
        <w:ind w:firstLine="420" w:firstLineChars="200"/>
        <w:rPr>
          <w:rFonts w:ascii="宋体" w:hAnsi="宋体" w:cs="宋体"/>
          <w:szCs w:val="21"/>
        </w:rPr>
      </w:pPr>
      <w:r>
        <w:rPr>
          <w:rFonts w:hint="eastAsia" w:ascii="宋体" w:hAnsi="宋体" w:cs="宋体"/>
          <w:szCs w:val="21"/>
        </w:rPr>
        <w:t>在本章规定的投标有效期内，采购人以书面形式向中标人发出中标通知书，同时将中标结果通知通过电子交易系统通知未中标的投标人。</w:t>
      </w:r>
    </w:p>
    <w:p>
      <w:pPr>
        <w:pStyle w:val="2"/>
        <w:rPr>
          <w:rFonts w:ascii="宋体" w:hAnsi="宋体" w:eastAsia="宋体" w:cs="宋体"/>
          <w:sz w:val="21"/>
          <w:szCs w:val="21"/>
        </w:rPr>
      </w:pPr>
      <w:bookmarkStart w:id="197" w:name="_Toc184635078"/>
      <w:bookmarkStart w:id="198" w:name="_Toc512597547"/>
      <w:bookmarkStart w:id="199" w:name="_Toc2040"/>
      <w:bookmarkStart w:id="200" w:name="_Toc296602467"/>
      <w:bookmarkStart w:id="201" w:name="_Toc152042357"/>
      <w:bookmarkStart w:id="202" w:name="_Toc179632598"/>
      <w:bookmarkStart w:id="203" w:name="_Toc247085738"/>
      <w:bookmarkStart w:id="204" w:name="_Toc144974547"/>
      <w:bookmarkStart w:id="205" w:name="_Toc152045580"/>
      <w:bookmarkStart w:id="206" w:name="_Toc246996224"/>
      <w:bookmarkStart w:id="207" w:name="_Toc246996967"/>
      <w:r>
        <w:rPr>
          <w:rFonts w:hint="eastAsia" w:ascii="宋体" w:hAnsi="宋体" w:eastAsia="宋体" w:cs="宋体"/>
          <w:sz w:val="21"/>
          <w:szCs w:val="21"/>
        </w:rPr>
        <w:t>36.16废标和</w:t>
      </w:r>
      <w:bookmarkEnd w:id="197"/>
      <w:bookmarkEnd w:id="198"/>
      <w:r>
        <w:rPr>
          <w:rFonts w:hint="eastAsia" w:ascii="宋体" w:hAnsi="宋体" w:eastAsia="宋体" w:cs="宋体"/>
          <w:sz w:val="21"/>
          <w:szCs w:val="21"/>
        </w:rPr>
        <w:t>其它采购方式</w:t>
      </w:r>
      <w:bookmarkEnd w:id="199"/>
    </w:p>
    <w:p>
      <w:pPr>
        <w:pStyle w:val="4"/>
        <w:ind w:firstLine="422" w:firstLineChars="200"/>
        <w:rPr>
          <w:rFonts w:ascii="宋体" w:hAnsi="宋体" w:cs="宋体"/>
          <w:sz w:val="21"/>
          <w:szCs w:val="21"/>
        </w:rPr>
      </w:pPr>
      <w:bookmarkStart w:id="208" w:name="_Toc3521"/>
      <w:r>
        <w:rPr>
          <w:rFonts w:hint="eastAsia" w:ascii="宋体" w:hAnsi="宋体" w:cs="宋体"/>
          <w:sz w:val="21"/>
          <w:szCs w:val="21"/>
        </w:rPr>
        <w:t>36.16.1废标</w:t>
      </w:r>
      <w:bookmarkEnd w:id="208"/>
    </w:p>
    <w:p>
      <w:pPr>
        <w:spacing w:line="360" w:lineRule="auto"/>
        <w:ind w:firstLine="420" w:firstLineChars="200"/>
        <w:textAlignment w:val="baseline"/>
        <w:rPr>
          <w:rFonts w:ascii="宋体" w:hAnsi="宋体" w:cs="宋体"/>
          <w:szCs w:val="21"/>
        </w:rPr>
      </w:pPr>
      <w:r>
        <w:rPr>
          <w:rFonts w:hint="eastAsia" w:ascii="宋体" w:hAnsi="宋体" w:cs="宋体"/>
          <w:szCs w:val="21"/>
        </w:rPr>
        <w:t>在招标采购中，出现下列情形之一的，应予废标：</w:t>
      </w:r>
    </w:p>
    <w:p>
      <w:pPr>
        <w:spacing w:line="360" w:lineRule="auto"/>
        <w:ind w:firstLine="420" w:firstLineChars="200"/>
        <w:textAlignment w:val="baseline"/>
        <w:rPr>
          <w:rFonts w:ascii="宋体" w:hAnsi="宋体" w:cs="宋体"/>
          <w:szCs w:val="21"/>
        </w:rPr>
      </w:pPr>
      <w:r>
        <w:rPr>
          <w:rFonts w:hint="eastAsia" w:ascii="宋体" w:hAnsi="宋体" w:cs="宋体"/>
          <w:szCs w:val="21"/>
        </w:rPr>
        <w:t>　（一）符合专业条件的供应商或者对招标文件作实质响应的供应商不足三家的；</w:t>
      </w:r>
    </w:p>
    <w:p>
      <w:pPr>
        <w:spacing w:line="360" w:lineRule="auto"/>
        <w:ind w:firstLine="420" w:firstLineChars="200"/>
        <w:textAlignment w:val="baseline"/>
        <w:rPr>
          <w:rFonts w:ascii="宋体" w:hAnsi="宋体" w:cs="宋体"/>
          <w:szCs w:val="21"/>
        </w:rPr>
      </w:pPr>
      <w:r>
        <w:rPr>
          <w:rFonts w:hint="eastAsia" w:ascii="宋体" w:hAnsi="宋体" w:cs="宋体"/>
          <w:szCs w:val="21"/>
        </w:rPr>
        <w:t>　（二）出现影响采购公正的违法、违规行为的；</w:t>
      </w:r>
    </w:p>
    <w:p>
      <w:pPr>
        <w:spacing w:line="360" w:lineRule="auto"/>
        <w:ind w:firstLine="420" w:firstLineChars="200"/>
        <w:textAlignment w:val="baseline"/>
        <w:rPr>
          <w:rFonts w:ascii="宋体" w:hAnsi="宋体" w:cs="宋体"/>
          <w:szCs w:val="21"/>
        </w:rPr>
      </w:pPr>
      <w:r>
        <w:rPr>
          <w:rFonts w:hint="eastAsia" w:ascii="宋体" w:hAnsi="宋体" w:cs="宋体"/>
          <w:szCs w:val="21"/>
        </w:rPr>
        <w:t>　（三）投标人的报价均超过了采购预算，采购人不能支付的；</w:t>
      </w:r>
    </w:p>
    <w:p>
      <w:pPr>
        <w:spacing w:line="360" w:lineRule="auto"/>
        <w:ind w:firstLine="420" w:firstLineChars="200"/>
        <w:textAlignment w:val="baseline"/>
        <w:rPr>
          <w:rFonts w:ascii="宋体" w:hAnsi="宋体" w:cs="宋体"/>
          <w:szCs w:val="21"/>
        </w:rPr>
      </w:pPr>
      <w:r>
        <w:rPr>
          <w:rFonts w:hint="eastAsia" w:ascii="宋体" w:hAnsi="宋体" w:cs="宋体"/>
          <w:szCs w:val="21"/>
        </w:rPr>
        <w:t>　（四）因重大变故，采购任务取消的。</w:t>
      </w:r>
    </w:p>
    <w:p>
      <w:pPr>
        <w:spacing w:line="360" w:lineRule="auto"/>
        <w:ind w:firstLine="840" w:firstLineChars="400"/>
        <w:textAlignment w:val="baseline"/>
        <w:rPr>
          <w:rFonts w:ascii="宋体" w:hAnsi="宋体" w:cs="宋体"/>
          <w:szCs w:val="21"/>
        </w:rPr>
      </w:pPr>
      <w:r>
        <w:rPr>
          <w:rFonts w:hint="eastAsia" w:ascii="宋体" w:hAnsi="宋体" w:cs="宋体"/>
          <w:szCs w:val="21"/>
        </w:rPr>
        <w:t>废标后，采购人应当将废标理由通知所有投标人。</w:t>
      </w:r>
    </w:p>
    <w:p>
      <w:pPr>
        <w:pStyle w:val="4"/>
        <w:ind w:firstLine="422" w:firstLineChars="200"/>
        <w:rPr>
          <w:rFonts w:ascii="宋体" w:hAnsi="宋体" w:cs="宋体"/>
          <w:sz w:val="21"/>
          <w:szCs w:val="21"/>
        </w:rPr>
      </w:pPr>
      <w:bookmarkStart w:id="209" w:name="_Toc27415"/>
      <w:r>
        <w:rPr>
          <w:rFonts w:hint="eastAsia" w:ascii="宋体" w:hAnsi="宋体" w:cs="宋体"/>
          <w:sz w:val="21"/>
          <w:szCs w:val="21"/>
        </w:rPr>
        <w:t>36.16.2它采购方式</w:t>
      </w:r>
      <w:bookmarkEnd w:id="209"/>
    </w:p>
    <w:p>
      <w:pPr>
        <w:spacing w:line="360" w:lineRule="auto"/>
        <w:ind w:firstLine="420" w:firstLineChars="200"/>
        <w:textAlignment w:val="baseline"/>
        <w:rPr>
          <w:rFonts w:ascii="宋体" w:hAnsi="宋体" w:cs="宋体"/>
          <w:szCs w:val="21"/>
        </w:rPr>
      </w:pPr>
      <w:r>
        <w:rPr>
          <w:rFonts w:hint="eastAsia" w:ascii="宋体" w:hAnsi="宋体" w:cs="宋体"/>
          <w:szCs w:val="21"/>
        </w:rPr>
        <w:t>重新招标后投标人仍少于3 个或者所有投标被否决的，经原审批或核准部门批准后采用非招标方式进行采购或不再进行招标。</w:t>
      </w:r>
    </w:p>
    <w:p>
      <w:pPr>
        <w:pStyle w:val="2"/>
        <w:rPr>
          <w:rFonts w:ascii="宋体" w:hAnsi="宋体" w:eastAsia="宋体" w:cs="宋体"/>
          <w:sz w:val="21"/>
          <w:szCs w:val="21"/>
        </w:rPr>
      </w:pPr>
      <w:bookmarkStart w:id="210" w:name="_Toc6135"/>
      <w:bookmarkStart w:id="211" w:name="_Toc184635079"/>
      <w:bookmarkStart w:id="212" w:name="_Toc512597550"/>
      <w:r>
        <w:rPr>
          <w:rFonts w:hint="eastAsia" w:ascii="宋体" w:hAnsi="宋体" w:eastAsia="宋体" w:cs="宋体"/>
          <w:sz w:val="21"/>
          <w:szCs w:val="21"/>
        </w:rPr>
        <w:t>36.17纪律和监督</w:t>
      </w:r>
      <w:bookmarkEnd w:id="210"/>
      <w:bookmarkEnd w:id="211"/>
      <w:bookmarkEnd w:id="212"/>
    </w:p>
    <w:p>
      <w:pPr>
        <w:pStyle w:val="4"/>
        <w:ind w:firstLine="422" w:firstLineChars="200"/>
        <w:rPr>
          <w:rFonts w:ascii="宋体" w:hAnsi="宋体" w:cs="宋体"/>
          <w:sz w:val="21"/>
          <w:szCs w:val="21"/>
        </w:rPr>
      </w:pPr>
      <w:bookmarkStart w:id="213" w:name="_Toc512597551"/>
      <w:bookmarkStart w:id="214" w:name="_Toc20450"/>
      <w:r>
        <w:rPr>
          <w:rFonts w:hint="eastAsia" w:ascii="宋体" w:hAnsi="宋体" w:cs="宋体"/>
          <w:sz w:val="21"/>
          <w:szCs w:val="21"/>
        </w:rPr>
        <w:t>36.17.1 对采购人的纪律要求</w:t>
      </w:r>
      <w:bookmarkEnd w:id="213"/>
      <w:bookmarkEnd w:id="214"/>
    </w:p>
    <w:p>
      <w:pPr>
        <w:spacing w:line="360" w:lineRule="auto"/>
        <w:ind w:firstLine="420" w:firstLineChars="200"/>
        <w:textAlignment w:val="baseline"/>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pPr>
        <w:spacing w:line="360" w:lineRule="auto"/>
        <w:ind w:firstLine="422" w:firstLineChars="200"/>
        <w:jc w:val="left"/>
        <w:textAlignment w:val="baseline"/>
        <w:rPr>
          <w:rFonts w:ascii="宋体" w:hAnsi="宋体" w:cs="宋体"/>
          <w:bCs/>
          <w:szCs w:val="21"/>
        </w:rPr>
      </w:pPr>
      <w:bookmarkStart w:id="215" w:name="_Toc1262"/>
      <w:r>
        <w:rPr>
          <w:rStyle w:val="45"/>
          <w:rFonts w:hint="eastAsia" w:ascii="宋体" w:hAnsi="宋体" w:cs="宋体"/>
          <w:bCs/>
          <w:sz w:val="21"/>
          <w:szCs w:val="21"/>
        </w:rPr>
        <w:t>禁止采购人与投标人串通投标</w:t>
      </w:r>
      <w:bookmarkEnd w:id="215"/>
      <w:r>
        <w:rPr>
          <w:rFonts w:hint="eastAsia" w:ascii="宋体" w:hAnsi="宋体" w:cs="宋体"/>
          <w:bCs/>
          <w:szCs w:val="21"/>
        </w:rPr>
        <w:br w:type="textWrapping"/>
      </w:r>
      <w:r>
        <w:rPr>
          <w:rFonts w:hint="eastAsia" w:ascii="宋体" w:hAnsi="宋体" w:cs="宋体"/>
          <w:bCs/>
          <w:szCs w:val="21"/>
        </w:rPr>
        <w:t xml:space="preserve">    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pStyle w:val="4"/>
        <w:ind w:firstLine="422" w:firstLineChars="200"/>
        <w:rPr>
          <w:rFonts w:ascii="宋体" w:hAnsi="宋体" w:cs="宋体"/>
          <w:sz w:val="21"/>
          <w:szCs w:val="21"/>
        </w:rPr>
      </w:pPr>
      <w:bookmarkStart w:id="216" w:name="_Toc512597552"/>
      <w:bookmarkStart w:id="217" w:name="_Toc17935"/>
      <w:r>
        <w:rPr>
          <w:rFonts w:hint="eastAsia" w:ascii="宋体" w:hAnsi="宋体" w:cs="宋体"/>
          <w:sz w:val="21"/>
          <w:szCs w:val="21"/>
        </w:rPr>
        <w:t>36.17.2 对投标人的纪律要求</w:t>
      </w:r>
      <w:bookmarkEnd w:id="216"/>
      <w:bookmarkEnd w:id="217"/>
    </w:p>
    <w:p>
      <w:pPr>
        <w:spacing w:line="360" w:lineRule="auto"/>
        <w:ind w:firstLine="420" w:firstLineChars="200"/>
        <w:textAlignment w:val="baseline"/>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ind w:left="420" w:leftChars="200"/>
        <w:jc w:val="left"/>
        <w:textAlignment w:val="baseline"/>
        <w:rPr>
          <w:rStyle w:val="45"/>
          <w:rFonts w:ascii="宋体" w:hAnsi="宋体" w:cs="宋体"/>
          <w:bCs/>
          <w:sz w:val="21"/>
          <w:szCs w:val="21"/>
        </w:rPr>
      </w:pPr>
      <w:bookmarkStart w:id="218" w:name="_Toc15818"/>
      <w:r>
        <w:rPr>
          <w:rStyle w:val="45"/>
          <w:rFonts w:hint="eastAsia" w:ascii="宋体" w:hAnsi="宋体" w:cs="宋体"/>
          <w:bCs/>
          <w:sz w:val="21"/>
          <w:szCs w:val="21"/>
        </w:rPr>
        <w:t>禁止投标人相互串通投标</w:t>
      </w:r>
      <w:bookmarkEnd w:id="218"/>
    </w:p>
    <w:p>
      <w:pPr>
        <w:spacing w:line="360" w:lineRule="auto"/>
        <w:ind w:firstLine="420" w:firstLineChars="200"/>
        <w:jc w:val="left"/>
        <w:textAlignment w:val="baseline"/>
        <w:rPr>
          <w:rFonts w:ascii="宋体" w:hAnsi="宋体" w:cs="宋体"/>
          <w:bCs/>
          <w:szCs w:val="21"/>
        </w:rPr>
      </w:pPr>
      <w:r>
        <w:rPr>
          <w:rFonts w:hint="eastAsia" w:ascii="宋体" w:hAnsi="宋体" w:cs="宋体"/>
          <w:bCs/>
          <w:szCs w:val="21"/>
        </w:rPr>
        <w:t>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jc w:val="left"/>
        <w:textAlignment w:val="baseline"/>
        <w:rPr>
          <w:rFonts w:ascii="宋体" w:hAnsi="宋体" w:cs="宋体"/>
          <w:bCs/>
          <w:szCs w:val="21"/>
        </w:rPr>
      </w:pPr>
      <w:r>
        <w:rPr>
          <w:rFonts w:hint="eastAsia" w:ascii="宋体" w:hAnsi="宋体" w:cs="宋体"/>
          <w:bCs/>
          <w:szCs w:val="21"/>
        </w:rPr>
        <w:t>　　（一）供应商直接或者间接从采购人或者采购代理机构处获得其他供应商的相关情况并修改其投标文件或者响应文件；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（二）供应商按照采购人或者采购代理机构的授意撤换、修改投标文件或者响应文件；</w:t>
      </w:r>
    </w:p>
    <w:p>
      <w:pPr>
        <w:spacing w:line="360" w:lineRule="auto"/>
        <w:jc w:val="left"/>
        <w:textAlignment w:val="baseline"/>
        <w:rPr>
          <w:rFonts w:ascii="宋体" w:hAnsi="宋体" w:cs="宋体"/>
          <w:bCs/>
          <w:szCs w:val="21"/>
        </w:rPr>
      </w:pPr>
      <w:r>
        <w:rPr>
          <w:rFonts w:hint="eastAsia" w:ascii="宋体" w:hAnsi="宋体" w:cs="宋体"/>
          <w:bCs/>
          <w:szCs w:val="21"/>
        </w:rPr>
        <w:t>　　（三）供应商之间协商报价、技术方案等投标文件或者响应文件的实质性内容；</w:t>
      </w:r>
    </w:p>
    <w:p>
      <w:pPr>
        <w:spacing w:line="360" w:lineRule="auto"/>
        <w:jc w:val="left"/>
        <w:textAlignment w:val="baseline"/>
        <w:rPr>
          <w:rFonts w:ascii="宋体" w:hAnsi="宋体" w:cs="宋体"/>
          <w:bCs/>
          <w:szCs w:val="21"/>
        </w:rPr>
      </w:pPr>
      <w:r>
        <w:rPr>
          <w:rFonts w:hint="eastAsia" w:ascii="宋体" w:hAnsi="宋体" w:cs="宋体"/>
          <w:bCs/>
          <w:szCs w:val="21"/>
        </w:rPr>
        <w:t>　　（四）属于同一集团、协会、商会等组织成员的供应商按照该组织要求协同参加政府采购活动；</w:t>
      </w:r>
    </w:p>
    <w:p>
      <w:pPr>
        <w:spacing w:line="360" w:lineRule="auto"/>
        <w:jc w:val="left"/>
        <w:textAlignment w:val="baseline"/>
        <w:rPr>
          <w:rFonts w:ascii="宋体" w:hAnsi="宋体" w:cs="宋体"/>
          <w:bCs/>
          <w:szCs w:val="21"/>
        </w:rPr>
      </w:pPr>
      <w:r>
        <w:rPr>
          <w:rFonts w:hint="eastAsia" w:ascii="宋体" w:hAnsi="宋体" w:cs="宋体"/>
          <w:bCs/>
          <w:szCs w:val="21"/>
        </w:rPr>
        <w:t>　　（五）供应商之间事先约定由某一特定供应商中标、成交；</w:t>
      </w:r>
    </w:p>
    <w:p>
      <w:pPr>
        <w:spacing w:line="360" w:lineRule="auto"/>
        <w:jc w:val="left"/>
        <w:textAlignment w:val="baseline"/>
        <w:rPr>
          <w:rFonts w:ascii="宋体" w:hAnsi="宋体" w:cs="宋体"/>
          <w:bCs/>
          <w:szCs w:val="21"/>
        </w:rPr>
      </w:pPr>
      <w:r>
        <w:rPr>
          <w:rFonts w:hint="eastAsia" w:ascii="宋体" w:hAnsi="宋体" w:cs="宋体"/>
          <w:bCs/>
          <w:szCs w:val="21"/>
        </w:rPr>
        <w:t>　　（六）供应商之间商定部分供应商放弃参加政府采购活动或者放弃中标、成交；</w:t>
      </w:r>
    </w:p>
    <w:p>
      <w:pPr>
        <w:spacing w:line="360" w:lineRule="auto"/>
        <w:jc w:val="left"/>
        <w:textAlignment w:val="baseline"/>
        <w:rPr>
          <w:rFonts w:ascii="宋体" w:hAnsi="宋体" w:cs="宋体"/>
          <w:bCs/>
          <w:szCs w:val="21"/>
        </w:rPr>
      </w:pPr>
      <w:r>
        <w:rPr>
          <w:rFonts w:hint="eastAsia" w:ascii="宋体" w:hAnsi="宋体" w:cs="宋体"/>
          <w:bCs/>
          <w:szCs w:val="21"/>
        </w:rPr>
        <w:t>　　（七）供应商与采购人或者采购代理机构之间、供应商相互之间，为谋求特定供应商中标、成交或者排斥其他供应商的其他串通行为。</w:t>
      </w:r>
    </w:p>
    <w:p>
      <w:pPr>
        <w:spacing w:line="360" w:lineRule="auto"/>
        <w:ind w:firstLine="422" w:firstLineChars="200"/>
        <w:jc w:val="left"/>
        <w:textAlignment w:val="baseline"/>
        <w:rPr>
          <w:rFonts w:ascii="宋体" w:hAnsi="宋体" w:cs="宋体"/>
          <w:bCs/>
          <w:szCs w:val="21"/>
        </w:rPr>
      </w:pPr>
      <w:bookmarkStart w:id="219" w:name="_Toc20849"/>
      <w:r>
        <w:rPr>
          <w:rStyle w:val="45"/>
          <w:rFonts w:hint="eastAsia" w:ascii="宋体" w:hAnsi="宋体" w:cs="宋体"/>
          <w:bCs/>
          <w:sz w:val="21"/>
          <w:szCs w:val="21"/>
        </w:rPr>
        <w:t>有下列情形之一的，视为投标人相互串通投标：</w:t>
      </w:r>
      <w:bookmarkEnd w:id="219"/>
    </w:p>
    <w:p>
      <w:pPr>
        <w:spacing w:line="360" w:lineRule="auto"/>
        <w:jc w:val="left"/>
        <w:textAlignment w:val="baseline"/>
        <w:rPr>
          <w:rFonts w:ascii="宋体" w:hAnsi="宋体" w:cs="宋体"/>
          <w:bCs/>
          <w:szCs w:val="21"/>
        </w:rPr>
      </w:pPr>
      <w:r>
        <w:rPr>
          <w:rFonts w:hint="eastAsia" w:ascii="宋体" w:hAnsi="宋体" w:cs="宋体"/>
          <w:bCs/>
          <w:szCs w:val="21"/>
        </w:rPr>
        <w:t>　　（一）不同投标人的投标文件由同一单位或者个人编制；</w:t>
      </w:r>
    </w:p>
    <w:p>
      <w:pPr>
        <w:spacing w:line="360" w:lineRule="auto"/>
        <w:jc w:val="left"/>
        <w:textAlignment w:val="baseline"/>
        <w:rPr>
          <w:rFonts w:ascii="宋体" w:hAnsi="宋体" w:cs="宋体"/>
          <w:bCs/>
          <w:szCs w:val="21"/>
        </w:rPr>
      </w:pPr>
      <w:r>
        <w:rPr>
          <w:rFonts w:hint="eastAsia" w:ascii="宋体" w:hAnsi="宋体" w:cs="宋体"/>
          <w:bCs/>
          <w:szCs w:val="21"/>
        </w:rPr>
        <w:t>　　（二）不同投标人委托同一单位或者个人办理投标事宜；</w:t>
      </w:r>
    </w:p>
    <w:p>
      <w:pPr>
        <w:spacing w:line="360" w:lineRule="auto"/>
        <w:jc w:val="left"/>
        <w:textAlignment w:val="baseline"/>
        <w:rPr>
          <w:rFonts w:ascii="宋体" w:hAnsi="宋体" w:cs="宋体"/>
          <w:bCs/>
          <w:szCs w:val="21"/>
        </w:rPr>
      </w:pPr>
      <w:r>
        <w:rPr>
          <w:rFonts w:hint="eastAsia" w:ascii="宋体" w:hAnsi="宋体" w:cs="宋体"/>
          <w:bCs/>
          <w:szCs w:val="21"/>
        </w:rPr>
        <w:t>　　（三）不同投标人的投标文件载明的项目管理成员或者联系人员为同一人；</w:t>
      </w:r>
    </w:p>
    <w:p>
      <w:pPr>
        <w:spacing w:line="360" w:lineRule="auto"/>
        <w:jc w:val="left"/>
        <w:textAlignment w:val="baseline"/>
        <w:rPr>
          <w:rFonts w:ascii="宋体" w:hAnsi="宋体" w:cs="宋体"/>
          <w:bCs/>
          <w:szCs w:val="21"/>
        </w:rPr>
      </w:pPr>
      <w:r>
        <w:rPr>
          <w:rFonts w:hint="eastAsia" w:ascii="宋体" w:hAnsi="宋体" w:cs="宋体"/>
          <w:bCs/>
          <w:szCs w:val="21"/>
        </w:rPr>
        <w:t>　　（四）不同投标人的投标文件异常一致或者投标报价呈规律性差异；</w:t>
      </w:r>
    </w:p>
    <w:p>
      <w:pPr>
        <w:spacing w:line="360" w:lineRule="auto"/>
        <w:jc w:val="left"/>
        <w:textAlignment w:val="baseline"/>
        <w:rPr>
          <w:rFonts w:ascii="宋体" w:hAnsi="宋体" w:cs="宋体"/>
          <w:bCs/>
          <w:szCs w:val="21"/>
        </w:rPr>
      </w:pPr>
      <w:r>
        <w:rPr>
          <w:rFonts w:hint="eastAsia" w:ascii="宋体" w:hAnsi="宋体" w:cs="宋体"/>
          <w:bCs/>
          <w:szCs w:val="21"/>
        </w:rPr>
        <w:t>　　（五）不同投标人的投标文件相互混装；</w:t>
      </w:r>
    </w:p>
    <w:p>
      <w:pPr>
        <w:spacing w:line="360" w:lineRule="auto"/>
        <w:jc w:val="left"/>
        <w:textAlignment w:val="baseline"/>
        <w:rPr>
          <w:rFonts w:ascii="宋体" w:hAnsi="宋体" w:cs="宋体"/>
          <w:bCs/>
          <w:szCs w:val="21"/>
        </w:rPr>
      </w:pPr>
      <w:r>
        <w:rPr>
          <w:rFonts w:hint="eastAsia" w:ascii="宋体" w:hAnsi="宋体" w:cs="宋体"/>
          <w:bCs/>
          <w:szCs w:val="21"/>
        </w:rPr>
        <w:t>　　（六）不同投标人的投标保证金从同一单位或者个人的账户转出。</w:t>
      </w:r>
    </w:p>
    <w:p>
      <w:pPr>
        <w:pStyle w:val="4"/>
        <w:rPr>
          <w:rFonts w:ascii="宋体" w:hAnsi="宋体" w:cs="宋体"/>
          <w:sz w:val="21"/>
          <w:szCs w:val="21"/>
        </w:rPr>
      </w:pPr>
      <w:bookmarkStart w:id="220" w:name="_Toc24933"/>
      <w:bookmarkStart w:id="221" w:name="_Toc512597553"/>
      <w:r>
        <w:rPr>
          <w:rFonts w:hint="eastAsia" w:ascii="宋体" w:hAnsi="宋体" w:cs="宋体"/>
          <w:sz w:val="21"/>
          <w:szCs w:val="21"/>
        </w:rPr>
        <w:t>36.17.4 对评标委员会成员的纪律要求</w:t>
      </w:r>
      <w:bookmarkEnd w:id="220"/>
      <w:bookmarkEnd w:id="221"/>
    </w:p>
    <w:p>
      <w:pPr>
        <w:spacing w:line="360" w:lineRule="auto"/>
        <w:ind w:firstLine="420" w:firstLineChars="200"/>
        <w:textAlignment w:val="baseline"/>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rPr>
          <w:rFonts w:ascii="宋体" w:hAnsi="宋体" w:cs="宋体"/>
          <w:sz w:val="21"/>
          <w:szCs w:val="21"/>
        </w:rPr>
      </w:pPr>
      <w:bookmarkStart w:id="222" w:name="_Toc24193"/>
      <w:bookmarkStart w:id="223" w:name="_Toc512597554"/>
      <w:r>
        <w:rPr>
          <w:rFonts w:hint="eastAsia" w:ascii="宋体" w:hAnsi="宋体" w:cs="宋体"/>
          <w:sz w:val="21"/>
          <w:szCs w:val="21"/>
        </w:rPr>
        <w:t>36.17.5 对与评标活动有关的工作人员的纪律要求</w:t>
      </w:r>
      <w:bookmarkEnd w:id="222"/>
      <w:bookmarkEnd w:id="223"/>
    </w:p>
    <w:p>
      <w:pPr>
        <w:spacing w:line="360" w:lineRule="auto"/>
        <w:ind w:firstLine="420" w:firstLineChars="200"/>
        <w:textAlignment w:val="baseline"/>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00"/>
      <w:bookmarkEnd w:id="201"/>
      <w:bookmarkEnd w:id="202"/>
      <w:bookmarkEnd w:id="203"/>
      <w:bookmarkEnd w:id="204"/>
      <w:bookmarkEnd w:id="205"/>
      <w:bookmarkEnd w:id="206"/>
      <w:bookmarkEnd w:id="207"/>
      <w:bookmarkStart w:id="224" w:name="_Toc30779"/>
      <w:bookmarkStart w:id="225" w:name="_Toc987"/>
      <w:bookmarkStart w:id="226" w:name="_Toc512597558"/>
    </w:p>
    <w:p>
      <w:pPr>
        <w:rPr>
          <w:rFonts w:ascii="宋体" w:hAnsi="宋体" w:cs="宋体"/>
          <w:szCs w:val="21"/>
        </w:rPr>
      </w:pPr>
      <w:r>
        <w:rPr>
          <w:rFonts w:hint="eastAsia" w:ascii="宋体" w:hAnsi="宋体" w:cs="宋体"/>
          <w:szCs w:val="21"/>
        </w:rPr>
        <w:br w:type="page"/>
      </w:r>
    </w:p>
    <w:p>
      <w:pPr>
        <w:pStyle w:val="3"/>
        <w:jc w:val="center"/>
      </w:pPr>
      <w:r>
        <w:rPr>
          <w:rFonts w:hint="eastAsia"/>
        </w:rPr>
        <w:t>第三章 评标办法</w:t>
      </w:r>
      <w:bookmarkEnd w:id="224"/>
      <w:bookmarkEnd w:id="225"/>
      <w:bookmarkEnd w:id="226"/>
    </w:p>
    <w:p>
      <w:pPr>
        <w:jc w:val="center"/>
        <w:rPr>
          <w:b/>
          <w:sz w:val="24"/>
          <w:szCs w:val="24"/>
        </w:rPr>
      </w:pPr>
      <w:r>
        <w:rPr>
          <w:rFonts w:hint="eastAsia"/>
          <w:b/>
          <w:sz w:val="24"/>
          <w:szCs w:val="24"/>
        </w:rPr>
        <w:t>评标办法前附表</w:t>
      </w:r>
    </w:p>
    <w:p>
      <w:pPr>
        <w:rPr>
          <w:b/>
          <w:sz w:val="24"/>
          <w:szCs w:val="24"/>
        </w:rPr>
      </w:pPr>
      <w:r>
        <w:rPr>
          <w:rFonts w:hint="eastAsia"/>
          <w:b/>
          <w:sz w:val="24"/>
          <w:szCs w:val="24"/>
        </w:rPr>
        <w:br w:type="page"/>
      </w:r>
    </w:p>
    <w:p/>
    <w:tbl>
      <w:tblPr>
        <w:tblStyle w:val="31"/>
        <w:tblW w:w="10065"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
        <w:gridCol w:w="1040"/>
        <w:gridCol w:w="3402"/>
        <w:gridCol w:w="4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trPr>
        <w:tc>
          <w:tcPr>
            <w:tcW w:w="1932" w:type="dxa"/>
            <w:gridSpan w:val="2"/>
            <w:tcBorders>
              <w:top w:val="single" w:color="auto" w:sz="4" w:space="0"/>
              <w:bottom w:val="single" w:color="auto" w:sz="4" w:space="0"/>
              <w:right w:val="single" w:color="auto" w:sz="4" w:space="0"/>
            </w:tcBorders>
            <w:vAlign w:val="center"/>
          </w:tcPr>
          <w:p>
            <w:pPr>
              <w:spacing w:line="360" w:lineRule="auto"/>
              <w:jc w:val="center"/>
              <w:rPr>
                <w:b/>
                <w:sz w:val="24"/>
              </w:rPr>
            </w:pPr>
            <w:r>
              <w:rPr>
                <w:b/>
                <w:sz w:val="24"/>
              </w:rPr>
              <w:t>条款号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评审因素</w:t>
            </w:r>
          </w:p>
        </w:tc>
        <w:tc>
          <w:tcPr>
            <w:tcW w:w="4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sz w:val="24"/>
              </w:rPr>
            </w:pPr>
            <w:r>
              <w:rPr>
                <w:b/>
                <w:sz w:val="24"/>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326" w:hRule="atLeast"/>
        </w:trPr>
        <w:tc>
          <w:tcPr>
            <w:tcW w:w="892" w:type="dxa"/>
            <w:vMerge w:val="restart"/>
            <w:tcBorders>
              <w:top w:val="single" w:color="auto" w:sz="4" w:space="0"/>
              <w:right w:val="single" w:color="auto" w:sz="4" w:space="0"/>
            </w:tcBorders>
            <w:vAlign w:val="center"/>
          </w:tcPr>
          <w:p>
            <w:pPr>
              <w:spacing w:line="360" w:lineRule="auto"/>
              <w:jc w:val="center"/>
              <w:rPr>
                <w:sz w:val="22"/>
                <w:szCs w:val="18"/>
              </w:rPr>
            </w:pPr>
          </w:p>
          <w:p>
            <w:pPr>
              <w:spacing w:line="360" w:lineRule="auto"/>
              <w:rPr>
                <w:sz w:val="22"/>
                <w:szCs w:val="18"/>
              </w:rPr>
            </w:pPr>
            <w:r>
              <w:rPr>
                <w:rFonts w:hint="eastAsia"/>
                <w:sz w:val="22"/>
                <w:szCs w:val="18"/>
              </w:rPr>
              <w:t>1.1</w:t>
            </w:r>
          </w:p>
        </w:tc>
        <w:tc>
          <w:tcPr>
            <w:tcW w:w="1040" w:type="dxa"/>
            <w:vMerge w:val="restart"/>
            <w:tcBorders>
              <w:top w:val="single" w:color="auto" w:sz="4" w:space="0"/>
              <w:right w:val="single" w:color="auto" w:sz="4" w:space="0"/>
            </w:tcBorders>
            <w:vAlign w:val="center"/>
          </w:tcPr>
          <w:p>
            <w:pPr>
              <w:spacing w:line="360" w:lineRule="auto"/>
              <w:jc w:val="center"/>
              <w:rPr>
                <w:sz w:val="22"/>
                <w:szCs w:val="18"/>
              </w:rPr>
            </w:pPr>
            <w:r>
              <w:rPr>
                <w:sz w:val="22"/>
                <w:szCs w:val="18"/>
              </w:rPr>
              <w:t>资格评审标准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pPr>
            <w:r>
              <w:rPr>
                <w:rFonts w:hint="eastAsia"/>
              </w:rPr>
              <w:t>1.满足《中华人民共和国政府采购法》第二十二条规定；</w:t>
            </w:r>
          </w:p>
          <w:p>
            <w:pPr>
              <w:spacing w:line="360" w:lineRule="auto"/>
            </w:pPr>
            <w:r>
              <w:rPr>
                <w:rFonts w:hint="eastAsia"/>
              </w:rPr>
              <w:t>2.落实政府采购政策需满足的资格要求：根据《政府采购促进中小企业发展管理办法》(财库[2020]46号)的规定，本项目专门针对中小企业采购，供应商应为中小微企业、监狱企业、残疾人福利性单位，供应商须提供相关有效声明材料。</w:t>
            </w:r>
          </w:p>
          <w:p>
            <w:pPr>
              <w:spacing w:line="360" w:lineRule="auto"/>
              <w:ind w:firstLine="420" w:firstLineChars="200"/>
            </w:pPr>
            <w:r>
              <w:rPr>
                <w:rFonts w:hint="eastAsia"/>
              </w:rPr>
              <w:t>3.本项目的特定资格要求：</w:t>
            </w:r>
          </w:p>
          <w:p>
            <w:pPr>
              <w:spacing w:line="360" w:lineRule="auto"/>
              <w:ind w:firstLine="420" w:firstLineChars="200"/>
            </w:pPr>
            <w:r>
              <w:rPr>
                <w:rFonts w:hint="eastAsia"/>
              </w:rPr>
              <w:t>3.1具有独立承担民事责任的能力（提供有效的营业执照、税务登记证、组织机构代码证或三证合一营业执照或电子营业执照</w:t>
            </w:r>
            <w:r>
              <w:rPr>
                <w:rFonts w:hint="eastAsia"/>
              </w:rPr>
              <w:t>）；</w:t>
            </w:r>
          </w:p>
          <w:p>
            <w:pPr>
              <w:spacing w:line="360" w:lineRule="auto"/>
              <w:ind w:firstLine="420" w:firstLineChars="200"/>
            </w:pPr>
            <w:r>
              <w:rPr>
                <w:rFonts w:hint="eastAsia"/>
              </w:rPr>
              <w:t>3.2具有良好的商业信誉和健全的财务会计制度（自行承诺）；</w:t>
            </w:r>
          </w:p>
          <w:p>
            <w:pPr>
              <w:spacing w:line="360" w:lineRule="auto"/>
              <w:ind w:firstLine="420" w:firstLineChars="200"/>
            </w:pPr>
            <w:r>
              <w:rPr>
                <w:rFonts w:hint="eastAsia"/>
              </w:rPr>
              <w:t>3.3履行合同所必需的专业技术能力（提供证明材料或承诺书）；</w:t>
            </w:r>
          </w:p>
          <w:p>
            <w:pPr>
              <w:spacing w:line="360" w:lineRule="auto"/>
              <w:ind w:firstLine="420" w:firstLineChars="200"/>
            </w:pPr>
            <w:r>
              <w:rPr>
                <w:rFonts w:hint="eastAsia"/>
              </w:rPr>
              <w:t>3.4有依法缴纳税收和社会保障资金的良好记录（自行承诺））；</w:t>
            </w:r>
          </w:p>
          <w:p>
            <w:pPr>
              <w:spacing w:line="360" w:lineRule="auto"/>
              <w:ind w:firstLine="420" w:firstLineChars="200"/>
            </w:pPr>
            <w:r>
              <w:rPr>
                <w:rFonts w:hint="eastAsia"/>
              </w:rPr>
              <w:t>3.5参加政府采购活动前三年或注册公司以来，在经营活动中没有重大违法记录的书面声明；</w:t>
            </w:r>
          </w:p>
          <w:p>
            <w:pPr>
              <w:spacing w:line="360" w:lineRule="auto"/>
              <w:ind w:firstLine="420" w:firstLineChars="200"/>
            </w:pPr>
            <w:r>
              <w:rPr>
                <w:rFonts w:hint="eastAsia"/>
              </w:rPr>
              <w:t>3.6提供中国执行公开网 “失信被执行人”和信用中国网“税收违法黑名单”，中国政府采购网“政府采购严重违法失信行为名单”查询页面加盖单位公章（文件递交的截止时间前七天内查询，查询页面显示时间）；若有不良记录报名无效，执行财库[2016]125号文；</w:t>
            </w:r>
          </w:p>
          <w:p>
            <w:pPr>
              <w:spacing w:line="360" w:lineRule="auto"/>
              <w:ind w:firstLine="420" w:firstLineChars="200"/>
            </w:pPr>
            <w:r>
              <w:rPr>
                <w:rFonts w:hint="eastAsia"/>
              </w:rPr>
              <w:t>3.7供应商拟派的授权委托人须提供供应商为其缴纳的养老保险证明（成立不满三个月的公司，提供情况说明；如法人本人，无授权人则无需提供社保证明）；</w:t>
            </w:r>
          </w:p>
          <w:p>
            <w:pPr>
              <w:spacing w:line="360" w:lineRule="auto"/>
              <w:ind w:firstLine="420" w:firstLineChars="200"/>
            </w:pPr>
            <w:r>
              <w:rPr>
                <w:rFonts w:hint="eastAsia"/>
              </w:rPr>
              <w:t>3.8投标人拟派项目负责人须具有土建专业国家注册一级造价工程师证书；其它拟派项目组成人员中土建专业注册一级造价工程师不少于2人，安装专业一级造价工程师不少于1人。</w:t>
            </w:r>
          </w:p>
          <w:p>
            <w:pPr>
              <w:spacing w:line="360" w:lineRule="auto"/>
              <w:ind w:firstLine="420" w:firstLineChars="200"/>
              <w:rPr>
                <w:rFonts w:hint="eastAsia"/>
              </w:rPr>
            </w:pPr>
            <w:r>
              <w:rPr>
                <w:rFonts w:hint="eastAsia"/>
              </w:rPr>
              <w:t>3.9本项目不接受联合体投标</w:t>
            </w:r>
            <w:r>
              <w:rPr>
                <w:rFonts w:hint="eastAsia"/>
                <w:lang w:eastAsia="zh-CN"/>
              </w:rPr>
              <w:t>，不允许分包或转包；资格审查方式采用资格后审</w:t>
            </w:r>
            <w:r>
              <w:rPr>
                <w:rFonts w:hint="eastAsia"/>
              </w:rPr>
              <w:t>。</w:t>
            </w:r>
          </w:p>
          <w:p>
            <w:pPr>
              <w:pStyle w:val="2"/>
            </w:pPr>
            <w:r>
              <w:rPr>
                <w:rFonts w:hint="eastAsia" w:ascii="Times New Roman" w:hAnsi="Times New Roman" w:eastAsia="宋体" w:cs="Times New Roman"/>
                <w:b w:val="0"/>
                <w:kern w:val="2"/>
                <w:sz w:val="21"/>
                <w:szCs w:val="22"/>
                <w:lang w:val="en-US" w:eastAsia="zh-CN" w:bidi="ar-SA"/>
              </w:rPr>
              <w:t>注：如投标单位为新成立企业，可提供注册后的相关证明材料。</w:t>
            </w:r>
          </w:p>
          <w:p>
            <w:pPr>
              <w:pStyle w:val="2"/>
            </w:pPr>
            <w:bookmarkStart w:id="423" w:name="_GoBack"/>
            <w:bookmarkEnd w:id="42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892" w:hRule="atLeast"/>
        </w:trPr>
        <w:tc>
          <w:tcPr>
            <w:tcW w:w="892" w:type="dxa"/>
            <w:tcBorders>
              <w:top w:val="single" w:color="auto" w:sz="4" w:space="0"/>
              <w:right w:val="single" w:color="auto" w:sz="4" w:space="0"/>
            </w:tcBorders>
            <w:vAlign w:val="center"/>
          </w:tcPr>
          <w:p>
            <w:pPr>
              <w:spacing w:line="360" w:lineRule="auto"/>
              <w:jc w:val="center"/>
              <w:rPr>
                <w:sz w:val="22"/>
                <w:szCs w:val="18"/>
              </w:rPr>
            </w:pPr>
          </w:p>
          <w:p>
            <w:pPr>
              <w:spacing w:line="360" w:lineRule="auto"/>
              <w:jc w:val="center"/>
              <w:rPr>
                <w:sz w:val="22"/>
                <w:szCs w:val="18"/>
              </w:rPr>
            </w:pPr>
          </w:p>
          <w:p>
            <w:pPr>
              <w:spacing w:line="360" w:lineRule="auto"/>
              <w:jc w:val="center"/>
              <w:rPr>
                <w:sz w:val="22"/>
                <w:szCs w:val="18"/>
              </w:rPr>
            </w:pPr>
            <w:r>
              <w:rPr>
                <w:sz w:val="22"/>
                <w:szCs w:val="18"/>
              </w:rPr>
              <w:t>1.</w:t>
            </w:r>
            <w:r>
              <w:rPr>
                <w:rFonts w:hint="eastAsia"/>
                <w:sz w:val="22"/>
                <w:szCs w:val="18"/>
              </w:rPr>
              <w:t>2</w:t>
            </w:r>
          </w:p>
          <w:p>
            <w:pPr>
              <w:spacing w:line="360" w:lineRule="auto"/>
              <w:jc w:val="center"/>
              <w:rPr>
                <w:sz w:val="22"/>
                <w:szCs w:val="18"/>
              </w:rPr>
            </w:pPr>
          </w:p>
          <w:p>
            <w:pPr>
              <w:spacing w:line="360" w:lineRule="auto"/>
              <w:rPr>
                <w:sz w:val="22"/>
                <w:szCs w:val="18"/>
              </w:rPr>
            </w:pPr>
          </w:p>
        </w:tc>
        <w:tc>
          <w:tcPr>
            <w:tcW w:w="1040" w:type="dxa"/>
            <w:tcBorders>
              <w:top w:val="single" w:color="auto" w:sz="4" w:space="0"/>
              <w:right w:val="single" w:color="auto" w:sz="4" w:space="0"/>
            </w:tcBorders>
            <w:vAlign w:val="center"/>
          </w:tcPr>
          <w:p>
            <w:pPr>
              <w:spacing w:line="360" w:lineRule="auto"/>
              <w:rPr>
                <w:sz w:val="22"/>
                <w:szCs w:val="18"/>
              </w:rPr>
            </w:pPr>
            <w:r>
              <w:rPr>
                <w:rFonts w:hint="eastAsia" w:ascii="宋体" w:hAnsi="宋体"/>
              </w:rPr>
              <w:t>初步评</w:t>
            </w:r>
            <w:r>
              <w:rPr>
                <w:rFonts w:hint="eastAsia" w:ascii="宋体" w:hAnsi="宋体"/>
                <w:szCs w:val="22"/>
              </w:rPr>
              <w:t>审标准</w:t>
            </w:r>
          </w:p>
        </w:tc>
        <w:tc>
          <w:tcPr>
            <w:tcW w:w="8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218" w:firstLineChars="104"/>
              <w:rPr>
                <w:szCs w:val="22"/>
              </w:rPr>
            </w:pPr>
            <w:r>
              <w:rPr>
                <w:rFonts w:hint="eastAsia"/>
                <w:szCs w:val="22"/>
              </w:rPr>
              <w:t>（1）投标函未按招标文件要求签章。</w:t>
            </w:r>
          </w:p>
          <w:p>
            <w:pPr>
              <w:spacing w:line="360" w:lineRule="auto"/>
              <w:ind w:firstLine="218" w:firstLineChars="104"/>
              <w:rPr>
                <w:szCs w:val="22"/>
              </w:rPr>
            </w:pPr>
            <w:r>
              <w:rPr>
                <w:rFonts w:hint="eastAsia"/>
                <w:szCs w:val="22"/>
              </w:rPr>
              <w:t xml:space="preserve">（2）在一份投标文件中报有两个（含两个）以上报价的。 </w:t>
            </w:r>
          </w:p>
          <w:p>
            <w:pPr>
              <w:spacing w:line="360" w:lineRule="auto"/>
              <w:ind w:firstLine="218" w:firstLineChars="104"/>
              <w:rPr>
                <w:szCs w:val="22"/>
              </w:rPr>
            </w:pPr>
            <w:r>
              <w:rPr>
                <w:rFonts w:hint="eastAsia"/>
                <w:szCs w:val="22"/>
              </w:rPr>
              <w:t>（3）以他人名义投标、串通投标、弄虚作假的。</w:t>
            </w:r>
          </w:p>
          <w:p>
            <w:pPr>
              <w:spacing w:line="360" w:lineRule="auto"/>
              <w:ind w:firstLine="218" w:firstLineChars="104"/>
              <w:rPr>
                <w:szCs w:val="22"/>
              </w:rPr>
            </w:pPr>
            <w:r>
              <w:rPr>
                <w:rFonts w:hint="eastAsia"/>
                <w:szCs w:val="22"/>
              </w:rPr>
              <w:t>（4）投标报价高于最高投标限价。</w:t>
            </w:r>
          </w:p>
          <w:p>
            <w:pPr>
              <w:spacing w:line="360" w:lineRule="auto"/>
              <w:ind w:firstLine="218" w:firstLineChars="104"/>
              <w:rPr>
                <w:szCs w:val="22"/>
              </w:rPr>
            </w:pPr>
            <w:r>
              <w:rPr>
                <w:rFonts w:hint="eastAsia"/>
                <w:szCs w:val="22"/>
              </w:rPr>
              <w:t>（5）投标有效期、项目地点、服务期限、服务要求不满足招标文件要求。</w:t>
            </w:r>
          </w:p>
          <w:p>
            <w:pPr>
              <w:spacing w:line="360" w:lineRule="auto"/>
              <w:ind w:firstLine="218" w:firstLineChars="104"/>
              <w:rPr>
                <w:sz w:val="22"/>
                <w:szCs w:val="18"/>
              </w:rPr>
            </w:pPr>
            <w:r>
              <w:rPr>
                <w:rFonts w:hint="eastAsia"/>
                <w:szCs w:val="22"/>
              </w:rPr>
              <w:t>（6）其它不响应招标文件、不符合法律法规的情况。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1932"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2.2.1</w:t>
            </w:r>
          </w:p>
        </w:tc>
        <w:tc>
          <w:tcPr>
            <w:tcW w:w="34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宋体" w:hAnsi="宋体"/>
                <w:szCs w:val="21"/>
              </w:rPr>
            </w:pPr>
            <w:r>
              <w:rPr>
                <w:rFonts w:hint="eastAsia" w:ascii="宋体" w:hAnsi="宋体"/>
                <w:szCs w:val="21"/>
              </w:rPr>
              <w:t>分值构成</w:t>
            </w:r>
          </w:p>
          <w:p>
            <w:pPr>
              <w:tabs>
                <w:tab w:val="center" w:pos="4153"/>
                <w:tab w:val="right" w:pos="8306"/>
              </w:tabs>
              <w:snapToGrid w:val="0"/>
              <w:jc w:val="center"/>
              <w:rPr>
                <w:rFonts w:ascii="宋体" w:hAnsi="宋体"/>
                <w:szCs w:val="21"/>
              </w:rPr>
            </w:pPr>
            <w:r>
              <w:rPr>
                <w:rFonts w:hint="eastAsia" w:ascii="宋体" w:hAnsi="宋体"/>
                <w:szCs w:val="21"/>
              </w:rPr>
              <w:t>（总分100分）</w:t>
            </w:r>
          </w:p>
        </w:tc>
        <w:tc>
          <w:tcPr>
            <w:tcW w:w="473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宋体" w:hAnsi="宋体"/>
                <w:szCs w:val="21"/>
              </w:rPr>
            </w:pPr>
            <w:r>
              <w:rPr>
                <w:rFonts w:hint="eastAsia" w:ascii="宋体" w:hAnsi="宋体"/>
                <w:szCs w:val="21"/>
              </w:rPr>
              <w:t>报价部分：</w:t>
            </w:r>
            <w:r>
              <w:rPr>
                <w:rFonts w:hint="eastAsia" w:ascii="宋体" w:hAnsi="宋体"/>
                <w:szCs w:val="21"/>
                <w:u w:val="single"/>
              </w:rPr>
              <w:t xml:space="preserve">  10 </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技术部分：</w:t>
            </w:r>
            <w:r>
              <w:rPr>
                <w:rFonts w:hint="eastAsia" w:ascii="宋体" w:hAnsi="宋体"/>
                <w:szCs w:val="21"/>
                <w:u w:val="single"/>
              </w:rPr>
              <w:t xml:space="preserve">  70 </w:t>
            </w:r>
            <w:r>
              <w:rPr>
                <w:rFonts w:hint="eastAsia" w:ascii="宋体" w:hAnsi="宋体"/>
                <w:szCs w:val="21"/>
              </w:rPr>
              <w:t>分</w:t>
            </w:r>
          </w:p>
          <w:p>
            <w:pPr>
              <w:tabs>
                <w:tab w:val="center" w:pos="4153"/>
                <w:tab w:val="right" w:pos="8306"/>
              </w:tabs>
              <w:snapToGrid w:val="0"/>
              <w:rPr>
                <w:rFonts w:ascii="宋体" w:hAnsi="宋体"/>
                <w:szCs w:val="21"/>
              </w:rPr>
            </w:pPr>
            <w:r>
              <w:rPr>
                <w:rFonts w:hint="eastAsia" w:ascii="宋体" w:hAnsi="宋体"/>
                <w:szCs w:val="21"/>
              </w:rPr>
              <w:t>综合部分：</w:t>
            </w:r>
            <w:r>
              <w:rPr>
                <w:rFonts w:hint="eastAsia" w:ascii="宋体" w:hAnsi="宋体"/>
                <w:szCs w:val="21"/>
                <w:u w:val="single"/>
              </w:rPr>
              <w:t xml:space="preserve">  20  </w:t>
            </w:r>
            <w:r>
              <w:rPr>
                <w:rFonts w:hint="eastAsia" w:ascii="宋体" w:hAnsi="宋体"/>
                <w:szCs w:val="21"/>
              </w:rPr>
              <w:t>分</w:t>
            </w:r>
          </w:p>
        </w:tc>
      </w:tr>
    </w:tbl>
    <w:p>
      <w:pPr>
        <w:jc w:val="center"/>
        <w:rPr>
          <w:b/>
          <w:sz w:val="28"/>
          <w:szCs w:val="28"/>
        </w:rPr>
      </w:pPr>
    </w:p>
    <w:p>
      <w:pPr>
        <w:rPr>
          <w:b/>
          <w:sz w:val="28"/>
          <w:szCs w:val="28"/>
        </w:rPr>
      </w:pPr>
      <w:r>
        <w:rPr>
          <w:rFonts w:hint="eastAsia"/>
          <w:b/>
          <w:sz w:val="28"/>
          <w:szCs w:val="28"/>
        </w:rPr>
        <w:br w:type="page"/>
      </w:r>
    </w:p>
    <w:p>
      <w:pPr>
        <w:jc w:val="center"/>
      </w:pPr>
      <w:r>
        <w:rPr>
          <w:rFonts w:hint="eastAsia"/>
          <w:b/>
          <w:sz w:val="28"/>
          <w:szCs w:val="28"/>
        </w:rPr>
        <w:t>报价部分评标办法</w:t>
      </w:r>
    </w:p>
    <w:tbl>
      <w:tblPr>
        <w:tblStyle w:val="31"/>
        <w:tblW w:w="100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5" w:hRule="atLeast"/>
          <w:jc w:val="center"/>
        </w:trPr>
        <w:tc>
          <w:tcPr>
            <w:tcW w:w="29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pPr>
            <w:r>
              <w:t>1</w:t>
            </w:r>
            <w:r>
              <w:rPr>
                <w:rFonts w:hint="eastAsia"/>
              </w:rPr>
              <w:t>、投标报价（1</w:t>
            </w:r>
            <w:r>
              <w:t>0</w:t>
            </w:r>
            <w:r>
              <w:rPr>
                <w:rFonts w:hint="eastAsia"/>
              </w:rPr>
              <w:t>分）</w:t>
            </w:r>
          </w:p>
        </w:tc>
        <w:tc>
          <w:tcPr>
            <w:tcW w:w="7106" w:type="dxa"/>
            <w:tcBorders>
              <w:top w:val="single" w:color="auto" w:sz="4" w:space="0"/>
              <w:left w:val="single" w:color="auto" w:sz="4" w:space="0"/>
              <w:bottom w:val="single" w:color="auto" w:sz="4" w:space="0"/>
              <w:right w:val="single" w:color="auto" w:sz="4" w:space="0"/>
            </w:tcBorders>
            <w:vAlign w:val="center"/>
          </w:tcPr>
          <w:p>
            <w:pPr>
              <w:kinsoku w:val="0"/>
              <w:overflowPunct w:val="0"/>
              <w:autoSpaceDE w:val="0"/>
              <w:autoSpaceDN w:val="0"/>
              <w:adjustRightInd w:val="0"/>
              <w:snapToGrid w:val="0"/>
              <w:spacing w:line="360" w:lineRule="auto"/>
            </w:pPr>
            <w:r>
              <w:rPr>
                <w:rFonts w:hint="eastAsia" w:ascii="宋体" w:hAnsi="宋体"/>
                <w:szCs w:val="21"/>
              </w:rPr>
              <w:t>评标基准价计算方法：</w:t>
            </w:r>
            <w:r>
              <w:rPr>
                <w:rFonts w:hint="eastAsia"/>
              </w:rPr>
              <w:t>满足招标文件要求且投标价格最低的投标报价为评标基准价，其价格分为满分</w:t>
            </w:r>
          </w:p>
          <w:p>
            <w:pPr>
              <w:pStyle w:val="9"/>
              <w:ind w:firstLine="0" w:firstLineChars="0"/>
            </w:pPr>
            <w:r>
              <w:rPr>
                <w:rFonts w:hint="eastAsia"/>
              </w:rPr>
              <w:t>投标报价得分=(评标基准价／投标报价)×10</w:t>
            </w:r>
          </w:p>
          <w:p>
            <w:pPr>
              <w:pStyle w:val="9"/>
              <w:ind w:firstLine="0" w:firstLineChars="0"/>
            </w:pPr>
            <w:r>
              <w:t>注：1、有效供应商是指实质上响应招标文件要求并通过实质性审核未被否决投标的所有供应商。</w:t>
            </w:r>
          </w:p>
          <w:p>
            <w:pPr>
              <w:pStyle w:val="9"/>
              <w:ind w:firstLine="0" w:firstLineChars="0"/>
            </w:pPr>
            <w:r>
              <w:rPr>
                <w:rFonts w:hint="eastAsia"/>
              </w:rPr>
              <w:t>2</w:t>
            </w:r>
            <w:r>
              <w:t>、评标委员会认为供应商的报价明显低于其他通过符合性审查供应商的报价或成本价，有可能影响产品质量或者不能诚信履约的，应当要求其在评标现场合理的时间内提供书面说明，必要时提交相关证明材料；供应商不能证明其报价合理性的，评标委员会应当将其作为无效投标处理。</w:t>
            </w:r>
          </w:p>
        </w:tc>
      </w:tr>
    </w:tbl>
    <w:p>
      <w:pPr>
        <w:rPr>
          <w:b/>
          <w:sz w:val="28"/>
          <w:szCs w:val="28"/>
        </w:rPr>
      </w:pPr>
      <w:r>
        <w:rPr>
          <w:rFonts w:hint="eastAsia"/>
          <w:b/>
          <w:sz w:val="28"/>
          <w:szCs w:val="28"/>
        </w:rPr>
        <w:br w:type="page"/>
      </w:r>
    </w:p>
    <w:p>
      <w:pPr>
        <w:ind w:firstLine="3654" w:firstLineChars="1300"/>
        <w:rPr>
          <w:b/>
          <w:sz w:val="28"/>
          <w:szCs w:val="28"/>
        </w:rPr>
      </w:pPr>
      <w:r>
        <w:rPr>
          <w:rFonts w:hint="eastAsia"/>
          <w:b/>
          <w:sz w:val="28"/>
          <w:szCs w:val="28"/>
        </w:rPr>
        <w:t>技术部分评标办法</w:t>
      </w:r>
    </w:p>
    <w:tbl>
      <w:tblPr>
        <w:tblStyle w:val="31"/>
        <w:tblW w:w="9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276"/>
        <w:gridCol w:w="913"/>
        <w:gridCol w:w="546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内容</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分值</w:t>
            </w:r>
          </w:p>
        </w:tc>
        <w:tc>
          <w:tcPr>
            <w:tcW w:w="5464"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评审标准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rPr>
              <w:t>造价咨询总体服务</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10分</w:t>
            </w:r>
          </w:p>
        </w:tc>
        <w:tc>
          <w:tcPr>
            <w:tcW w:w="5464" w:type="dxa"/>
            <w:tcBorders>
              <w:top w:val="single" w:color="auto" w:sz="4" w:space="0"/>
              <w:left w:val="single" w:color="auto" w:sz="4" w:space="0"/>
              <w:bottom w:val="single" w:color="auto" w:sz="4" w:space="0"/>
              <w:right w:val="single" w:color="auto" w:sz="4" w:space="0"/>
            </w:tcBorders>
            <w:vAlign w:val="center"/>
          </w:tcPr>
          <w:p>
            <w:r>
              <w:rPr>
                <w:rFonts w:hint="eastAsia"/>
              </w:rPr>
              <w:t>造价咨询总体服务科学、合理，满足项目实际需求，分为三个档次；</w:t>
            </w:r>
          </w:p>
          <w:p>
            <w:r>
              <w:rPr>
                <w:rFonts w:hint="eastAsia"/>
              </w:rPr>
              <w:t>第一档得：10分（不存在非实质性问题）；</w:t>
            </w:r>
          </w:p>
          <w:p>
            <w:r>
              <w:rPr>
                <w:rFonts w:hint="eastAsia"/>
              </w:rPr>
              <w:t>第二档得：7分（1-3处非实质性问题）；</w:t>
            </w:r>
          </w:p>
          <w:p>
            <w:r>
              <w:rPr>
                <w:rFonts w:hint="eastAsia"/>
              </w:rPr>
              <w:t>第三档得：4分（3处以上非实质性问题）；</w:t>
            </w:r>
          </w:p>
          <w:p>
            <w:r>
              <w:rPr>
                <w:rFonts w:hint="eastAsia"/>
              </w:rPr>
              <w:t>缺项不得分。</w:t>
            </w:r>
          </w:p>
          <w:p>
            <w:r>
              <w:rPr>
                <w:rFonts w:hint="eastAsia"/>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造价咨询质量保障方案</w:t>
            </w:r>
          </w:p>
          <w:p>
            <w:pPr>
              <w:jc w:val="left"/>
              <w:rPr>
                <w:szCs w:val="21"/>
              </w:rPr>
            </w:pP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10分</w:t>
            </w:r>
          </w:p>
        </w:tc>
        <w:tc>
          <w:tcPr>
            <w:tcW w:w="5464" w:type="dxa"/>
            <w:tcBorders>
              <w:top w:val="single" w:color="auto" w:sz="4" w:space="0"/>
              <w:left w:val="single" w:color="auto" w:sz="4" w:space="0"/>
              <w:right w:val="single" w:color="auto" w:sz="4" w:space="0"/>
            </w:tcBorders>
            <w:vAlign w:val="center"/>
          </w:tcPr>
          <w:p>
            <w:r>
              <w:rPr>
                <w:rFonts w:hint="eastAsia"/>
              </w:rPr>
              <w:t>造价咨询质量保障方案科学、合理、安全、考虑周全，针对性强的基础上，分为三个档次；</w:t>
            </w:r>
          </w:p>
          <w:p>
            <w:pPr>
              <w:spacing w:line="340" w:lineRule="exact"/>
            </w:pPr>
            <w:r>
              <w:rPr>
                <w:rFonts w:hint="eastAsia"/>
              </w:rPr>
              <w:t>第一档得：10分（不存在非实质性问题）；</w:t>
            </w:r>
          </w:p>
          <w:p>
            <w:pPr>
              <w:spacing w:line="340" w:lineRule="exact"/>
            </w:pPr>
            <w:r>
              <w:rPr>
                <w:rFonts w:hint="eastAsia"/>
              </w:rPr>
              <w:t>第二档得：7分（1-3处非实质性问题）；</w:t>
            </w:r>
          </w:p>
          <w:p>
            <w:pPr>
              <w:spacing w:line="340" w:lineRule="exact"/>
            </w:pPr>
            <w:r>
              <w:rPr>
                <w:rFonts w:hint="eastAsia"/>
              </w:rPr>
              <w:t>第三档得：4分（3处以上非实质性问题）；</w:t>
            </w:r>
          </w:p>
          <w:p>
            <w:pPr>
              <w:spacing w:line="340" w:lineRule="exact"/>
              <w:rPr>
                <w:szCs w:val="21"/>
              </w:rPr>
            </w:pPr>
            <w:r>
              <w:rPr>
                <w:rFonts w:hint="eastAsia"/>
                <w:szCs w:val="21"/>
              </w:rPr>
              <w:t>上述所有措施需满足本项目实际采购需求，合理可行的基础上进行纵向比较。</w:t>
            </w:r>
          </w:p>
          <w:p>
            <w:pPr>
              <w:spacing w:line="340" w:lineRule="exact"/>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造价咨询资料及成果文件保密性与公正性保障方案</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xml:space="preserve"> </w:t>
            </w:r>
            <w:r>
              <w:rPr>
                <w:rFonts w:hint="eastAsia"/>
                <w:szCs w:val="21"/>
              </w:rPr>
              <w:t>10分</w:t>
            </w:r>
          </w:p>
        </w:tc>
        <w:tc>
          <w:tcPr>
            <w:tcW w:w="5464" w:type="dxa"/>
            <w:tcBorders>
              <w:top w:val="single" w:color="auto" w:sz="4" w:space="0"/>
              <w:left w:val="single" w:color="auto" w:sz="4" w:space="0"/>
              <w:right w:val="single" w:color="auto" w:sz="4" w:space="0"/>
            </w:tcBorders>
            <w:vAlign w:val="center"/>
          </w:tcPr>
          <w:p>
            <w:r>
              <w:rPr>
                <w:rFonts w:hint="eastAsia"/>
                <w:szCs w:val="21"/>
              </w:rPr>
              <w:t>造价咨询资料及成果文件保密性与公正性保障方案，</w:t>
            </w:r>
            <w:r>
              <w:rPr>
                <w:rFonts w:hint="eastAsia"/>
              </w:rPr>
              <w:t>方案内容全面、方法可行的基础上，分为三个档次；</w:t>
            </w:r>
          </w:p>
          <w:p>
            <w:pPr>
              <w:spacing w:line="340" w:lineRule="exact"/>
            </w:pPr>
            <w:r>
              <w:rPr>
                <w:rFonts w:hint="eastAsia"/>
              </w:rPr>
              <w:t>第一档得：10分（不存在非实质性问题）；</w:t>
            </w:r>
          </w:p>
          <w:p>
            <w:pPr>
              <w:spacing w:line="340" w:lineRule="exact"/>
            </w:pPr>
            <w:r>
              <w:rPr>
                <w:rFonts w:hint="eastAsia"/>
              </w:rPr>
              <w:t>第二档得：7分（1-3处非实质性问题）；</w:t>
            </w:r>
          </w:p>
          <w:p>
            <w:pPr>
              <w:spacing w:line="340" w:lineRule="exact"/>
            </w:pPr>
            <w:r>
              <w:rPr>
                <w:rFonts w:hint="eastAsia"/>
              </w:rPr>
              <w:t>第三档得：4分（3处以上非实质性问题）；</w:t>
            </w:r>
          </w:p>
          <w:p>
            <w:pPr>
              <w:spacing w:line="340" w:lineRule="exact"/>
              <w:rPr>
                <w:szCs w:val="21"/>
              </w:rPr>
            </w:pPr>
            <w:r>
              <w:rPr>
                <w:rFonts w:hint="eastAsia"/>
                <w:szCs w:val="21"/>
              </w:rPr>
              <w:t>上述所有措施需满足本项目实际采购需求，合理可行的基础上进行纵向比较。</w:t>
            </w:r>
          </w:p>
          <w:p>
            <w:pPr>
              <w:spacing w:line="34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rPr>
              <w:t>重点与难点分析与应对措施</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10分</w:t>
            </w:r>
          </w:p>
        </w:tc>
        <w:tc>
          <w:tcPr>
            <w:tcW w:w="5464" w:type="dxa"/>
            <w:tcBorders>
              <w:top w:val="single" w:color="auto" w:sz="4" w:space="0"/>
              <w:left w:val="single" w:color="auto" w:sz="4" w:space="0"/>
              <w:right w:val="single" w:color="auto" w:sz="4" w:space="0"/>
            </w:tcBorders>
            <w:vAlign w:val="center"/>
          </w:tcPr>
          <w:p>
            <w:r>
              <w:rPr>
                <w:rFonts w:hint="eastAsia"/>
                <w:szCs w:val="21"/>
              </w:rPr>
              <w:t>重点与难点分析与应对措施科学、可行</w:t>
            </w:r>
            <w:r>
              <w:rPr>
                <w:rFonts w:hint="eastAsia"/>
              </w:rPr>
              <w:t>的基础上，分为三个档次；</w:t>
            </w:r>
          </w:p>
          <w:p>
            <w:pPr>
              <w:spacing w:line="340" w:lineRule="exact"/>
            </w:pPr>
            <w:r>
              <w:rPr>
                <w:rFonts w:hint="eastAsia"/>
              </w:rPr>
              <w:t>第一档得：10分（不存在非实质性问题）；</w:t>
            </w:r>
          </w:p>
          <w:p>
            <w:pPr>
              <w:spacing w:line="340" w:lineRule="exact"/>
            </w:pPr>
            <w:r>
              <w:rPr>
                <w:rFonts w:hint="eastAsia"/>
              </w:rPr>
              <w:t>第二档得：7分（1-3处非实质性问题）；</w:t>
            </w:r>
          </w:p>
          <w:p>
            <w:pPr>
              <w:spacing w:line="340" w:lineRule="exact"/>
            </w:pPr>
            <w:r>
              <w:rPr>
                <w:rFonts w:hint="eastAsia"/>
              </w:rPr>
              <w:t>第三档得：4分（3处以上非实质性问题）；</w:t>
            </w:r>
          </w:p>
          <w:p>
            <w:pPr>
              <w:spacing w:line="340" w:lineRule="exact"/>
              <w:rPr>
                <w:szCs w:val="21"/>
              </w:rPr>
            </w:pPr>
            <w:r>
              <w:rPr>
                <w:rFonts w:hint="eastAsia"/>
                <w:szCs w:val="21"/>
              </w:rPr>
              <w:t>上述所有措施需满足本项目实际采购需求，合理可行的基础上进行纵向比较。</w:t>
            </w:r>
          </w:p>
          <w:p>
            <w:pPr>
              <w:spacing w:line="34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w:t>
            </w:r>
          </w:p>
        </w:tc>
        <w:tc>
          <w:tcPr>
            <w:tcW w:w="1276"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rPr>
              <w:t>成果文件进度控制的措施和方法</w:t>
            </w:r>
          </w:p>
        </w:tc>
        <w:tc>
          <w:tcPr>
            <w:tcW w:w="91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10分</w:t>
            </w:r>
          </w:p>
        </w:tc>
        <w:tc>
          <w:tcPr>
            <w:tcW w:w="5464" w:type="dxa"/>
            <w:tcBorders>
              <w:top w:val="single" w:color="auto" w:sz="4" w:space="0"/>
              <w:left w:val="single" w:color="auto" w:sz="4" w:space="0"/>
              <w:right w:val="single" w:color="auto" w:sz="4" w:space="0"/>
            </w:tcBorders>
            <w:vAlign w:val="center"/>
          </w:tcPr>
          <w:p>
            <w:pPr>
              <w:spacing w:line="340" w:lineRule="exact"/>
              <w:rPr>
                <w:szCs w:val="21"/>
              </w:rPr>
            </w:pPr>
            <w:r>
              <w:rPr>
                <w:rFonts w:hint="eastAsia"/>
              </w:rPr>
              <w:t>成果文件进度控制的措施和方法详细、可行、具有针对性的基础上</w:t>
            </w:r>
            <w:r>
              <w:rPr>
                <w:rFonts w:hint="eastAsia"/>
                <w:szCs w:val="21"/>
              </w:rPr>
              <w:t>分为三个档次：</w:t>
            </w:r>
          </w:p>
          <w:p>
            <w:pPr>
              <w:spacing w:line="340" w:lineRule="exact"/>
              <w:rPr>
                <w:szCs w:val="21"/>
              </w:rPr>
            </w:pPr>
            <w:r>
              <w:rPr>
                <w:rFonts w:hint="eastAsia"/>
                <w:szCs w:val="21"/>
              </w:rPr>
              <w:t>第一档得：10分（不存在非实质性问题）；</w:t>
            </w:r>
          </w:p>
          <w:p>
            <w:pPr>
              <w:spacing w:line="340" w:lineRule="exact"/>
              <w:rPr>
                <w:szCs w:val="21"/>
              </w:rPr>
            </w:pPr>
            <w:r>
              <w:rPr>
                <w:rFonts w:hint="eastAsia"/>
                <w:szCs w:val="21"/>
              </w:rPr>
              <w:t>第二档得：7分（1-3处非实质性问题）；</w:t>
            </w:r>
          </w:p>
          <w:p>
            <w:pPr>
              <w:spacing w:line="340" w:lineRule="exact"/>
              <w:rPr>
                <w:szCs w:val="21"/>
              </w:rPr>
            </w:pPr>
            <w:r>
              <w:rPr>
                <w:rFonts w:hint="eastAsia"/>
                <w:szCs w:val="21"/>
              </w:rPr>
              <w:t>第三档得：4分（3处以上非实质性问题）；</w:t>
            </w:r>
          </w:p>
          <w:p>
            <w:pPr>
              <w:spacing w:line="340" w:lineRule="exact"/>
              <w:rPr>
                <w:szCs w:val="21"/>
              </w:rPr>
            </w:pPr>
            <w:r>
              <w:rPr>
                <w:rFonts w:hint="eastAsia"/>
                <w:szCs w:val="21"/>
              </w:rPr>
              <w:t>缺项不得分。</w:t>
            </w:r>
          </w:p>
          <w:p>
            <w:pPr>
              <w:spacing w:line="34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5"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档案管理方案</w:t>
            </w:r>
          </w:p>
        </w:tc>
        <w:tc>
          <w:tcPr>
            <w:tcW w:w="9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8分</w:t>
            </w:r>
          </w:p>
        </w:tc>
        <w:tc>
          <w:tcPr>
            <w:tcW w:w="5464" w:type="dxa"/>
            <w:tcBorders>
              <w:top w:val="single" w:color="auto" w:sz="4" w:space="0"/>
              <w:left w:val="single" w:color="auto" w:sz="4" w:space="0"/>
              <w:right w:val="single" w:color="auto" w:sz="4" w:space="0"/>
            </w:tcBorders>
            <w:vAlign w:val="center"/>
          </w:tcPr>
          <w:p>
            <w:pPr>
              <w:spacing w:line="340" w:lineRule="exact"/>
              <w:rPr>
                <w:szCs w:val="21"/>
              </w:rPr>
            </w:pPr>
            <w:r>
              <w:rPr>
                <w:rFonts w:hint="eastAsia"/>
              </w:rPr>
              <w:t>档案管理方案合理、可行</w:t>
            </w:r>
            <w:r>
              <w:rPr>
                <w:rFonts w:hint="eastAsia"/>
                <w:szCs w:val="21"/>
              </w:rPr>
              <w:t>基础上，分为三个档次：</w:t>
            </w:r>
          </w:p>
          <w:p>
            <w:pPr>
              <w:spacing w:line="340" w:lineRule="exact"/>
              <w:rPr>
                <w:szCs w:val="21"/>
              </w:rPr>
            </w:pPr>
            <w:r>
              <w:rPr>
                <w:rFonts w:hint="eastAsia"/>
                <w:szCs w:val="21"/>
              </w:rPr>
              <w:t>第一档得：8分（不存在非实质性问题）；</w:t>
            </w:r>
          </w:p>
          <w:p>
            <w:pPr>
              <w:spacing w:line="340" w:lineRule="exact"/>
              <w:rPr>
                <w:szCs w:val="21"/>
              </w:rPr>
            </w:pPr>
            <w:r>
              <w:rPr>
                <w:rFonts w:hint="eastAsia"/>
                <w:szCs w:val="21"/>
              </w:rPr>
              <w:t>第二档得：5分（1-3处非实质性问题）；</w:t>
            </w:r>
          </w:p>
          <w:p>
            <w:pPr>
              <w:spacing w:line="340" w:lineRule="exact"/>
              <w:rPr>
                <w:szCs w:val="21"/>
              </w:rPr>
            </w:pPr>
            <w:r>
              <w:rPr>
                <w:rFonts w:hint="eastAsia"/>
                <w:szCs w:val="21"/>
              </w:rPr>
              <w:t>第三档得：3分（3处以上非实质性问题）；</w:t>
            </w:r>
          </w:p>
          <w:p>
            <w:pPr>
              <w:spacing w:line="340" w:lineRule="exact"/>
              <w:rPr>
                <w:szCs w:val="21"/>
              </w:rPr>
            </w:pPr>
            <w:r>
              <w:rPr>
                <w:rFonts w:hint="eastAsia"/>
                <w:szCs w:val="21"/>
              </w:rPr>
              <w:t>缺项不得分。</w:t>
            </w:r>
          </w:p>
          <w:p>
            <w:pPr>
              <w:spacing w:line="40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7</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廉洁自律措施</w:t>
            </w:r>
          </w:p>
        </w:tc>
        <w:tc>
          <w:tcPr>
            <w:tcW w:w="9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7分</w:t>
            </w:r>
          </w:p>
        </w:tc>
        <w:tc>
          <w:tcPr>
            <w:tcW w:w="5464" w:type="dxa"/>
            <w:tcBorders>
              <w:top w:val="single" w:color="auto" w:sz="4" w:space="0"/>
              <w:left w:val="single" w:color="auto" w:sz="4" w:space="0"/>
              <w:right w:val="single" w:color="auto" w:sz="4" w:space="0"/>
            </w:tcBorders>
            <w:vAlign w:val="center"/>
          </w:tcPr>
          <w:p>
            <w:pPr>
              <w:spacing w:line="340" w:lineRule="exact"/>
              <w:rPr>
                <w:szCs w:val="21"/>
              </w:rPr>
            </w:pPr>
            <w:r>
              <w:t>廉洁自律措施</w:t>
            </w:r>
            <w:r>
              <w:rPr>
                <w:rFonts w:hint="eastAsia"/>
                <w:szCs w:val="21"/>
              </w:rPr>
              <w:t>合理、可行基础上，分为三个档次：</w:t>
            </w:r>
          </w:p>
          <w:p>
            <w:pPr>
              <w:spacing w:line="340" w:lineRule="exact"/>
              <w:rPr>
                <w:szCs w:val="21"/>
              </w:rPr>
            </w:pPr>
            <w:r>
              <w:rPr>
                <w:rFonts w:hint="eastAsia"/>
                <w:szCs w:val="21"/>
              </w:rPr>
              <w:t>第一档得：7分（不存在非实质性问题）；</w:t>
            </w:r>
          </w:p>
          <w:p>
            <w:pPr>
              <w:spacing w:line="340" w:lineRule="exact"/>
              <w:rPr>
                <w:szCs w:val="21"/>
              </w:rPr>
            </w:pPr>
            <w:r>
              <w:rPr>
                <w:rFonts w:hint="eastAsia"/>
                <w:szCs w:val="21"/>
              </w:rPr>
              <w:t>第二档得：4分（1-3处非实质性问题）；</w:t>
            </w:r>
          </w:p>
          <w:p>
            <w:pPr>
              <w:spacing w:line="340" w:lineRule="exact"/>
              <w:rPr>
                <w:szCs w:val="21"/>
              </w:rPr>
            </w:pPr>
            <w:r>
              <w:rPr>
                <w:rFonts w:hint="eastAsia"/>
                <w:szCs w:val="21"/>
              </w:rPr>
              <w:t>第三档得：2分（3处以上非实质性问题）；</w:t>
            </w:r>
          </w:p>
          <w:p>
            <w:pPr>
              <w:spacing w:line="340" w:lineRule="exact"/>
              <w:rPr>
                <w:szCs w:val="21"/>
              </w:rPr>
            </w:pPr>
            <w:r>
              <w:rPr>
                <w:rFonts w:hint="eastAsia"/>
                <w:szCs w:val="21"/>
              </w:rPr>
              <w:t>缺项不得分。</w:t>
            </w:r>
          </w:p>
          <w:p>
            <w:pPr>
              <w:spacing w:line="40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8</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新冠疫情防控措施</w:t>
            </w:r>
          </w:p>
        </w:tc>
        <w:tc>
          <w:tcPr>
            <w:tcW w:w="9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5分</w:t>
            </w:r>
          </w:p>
        </w:tc>
        <w:tc>
          <w:tcPr>
            <w:tcW w:w="5464" w:type="dxa"/>
            <w:tcBorders>
              <w:top w:val="single" w:color="auto" w:sz="4" w:space="0"/>
              <w:left w:val="single" w:color="auto" w:sz="4" w:space="0"/>
              <w:right w:val="single" w:color="auto" w:sz="4" w:space="0"/>
            </w:tcBorders>
            <w:vAlign w:val="center"/>
          </w:tcPr>
          <w:p>
            <w:pPr>
              <w:spacing w:line="340" w:lineRule="exact"/>
              <w:rPr>
                <w:szCs w:val="21"/>
              </w:rPr>
            </w:pPr>
            <w:r>
              <w:rPr>
                <w:rFonts w:hint="eastAsia"/>
                <w:szCs w:val="21"/>
              </w:rPr>
              <w:t>新冠疫情防控措施合理性、优越性、可行性基础上，分为三个档次：</w:t>
            </w:r>
          </w:p>
          <w:p>
            <w:pPr>
              <w:spacing w:line="340" w:lineRule="exact"/>
              <w:rPr>
                <w:szCs w:val="21"/>
              </w:rPr>
            </w:pPr>
            <w:r>
              <w:rPr>
                <w:rFonts w:hint="eastAsia"/>
                <w:szCs w:val="21"/>
              </w:rPr>
              <w:t>第一档得：5分（不存在非实质性问题）；</w:t>
            </w:r>
          </w:p>
          <w:p>
            <w:pPr>
              <w:spacing w:line="340" w:lineRule="exact"/>
              <w:rPr>
                <w:szCs w:val="21"/>
              </w:rPr>
            </w:pPr>
            <w:r>
              <w:rPr>
                <w:rFonts w:hint="eastAsia"/>
                <w:szCs w:val="21"/>
              </w:rPr>
              <w:t>第二档得：3分（1-3处非实质性问题）；</w:t>
            </w:r>
          </w:p>
          <w:p>
            <w:pPr>
              <w:spacing w:line="340" w:lineRule="exact"/>
              <w:rPr>
                <w:szCs w:val="21"/>
              </w:rPr>
            </w:pPr>
            <w:r>
              <w:rPr>
                <w:rFonts w:hint="eastAsia"/>
                <w:szCs w:val="21"/>
              </w:rPr>
              <w:t>第三档得：1分（3处以上非实质性问题）；</w:t>
            </w:r>
          </w:p>
          <w:p>
            <w:pPr>
              <w:spacing w:line="340" w:lineRule="exact"/>
              <w:rPr>
                <w:szCs w:val="21"/>
              </w:rPr>
            </w:pPr>
            <w:r>
              <w:rPr>
                <w:rFonts w:hint="eastAsia"/>
                <w:szCs w:val="21"/>
              </w:rPr>
              <w:t>缺项不得分。</w:t>
            </w:r>
          </w:p>
          <w:p>
            <w:pPr>
              <w:spacing w:line="400" w:lineRule="exac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9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r>
              <w:rPr>
                <w:rFonts w:hint="eastAsia"/>
                <w:szCs w:val="21"/>
              </w:rPr>
              <w:t>注：缺项不得分</w:t>
            </w:r>
          </w:p>
        </w:tc>
      </w:tr>
    </w:tbl>
    <w:p>
      <w:pPr>
        <w:ind w:firstLine="3654" w:firstLineChars="1300"/>
        <w:rPr>
          <w:b/>
          <w:sz w:val="28"/>
          <w:szCs w:val="28"/>
        </w:rPr>
      </w:pPr>
    </w:p>
    <w:p>
      <w:pPr>
        <w:ind w:firstLine="3654" w:firstLineChars="1300"/>
        <w:rPr>
          <w:b/>
          <w:sz w:val="28"/>
          <w:szCs w:val="28"/>
        </w:rPr>
      </w:pPr>
      <w:r>
        <w:rPr>
          <w:rFonts w:hint="eastAsia"/>
          <w:b/>
          <w:sz w:val="28"/>
          <w:szCs w:val="28"/>
        </w:rPr>
        <w:t>综合标评标办法</w:t>
      </w:r>
    </w:p>
    <w:tbl>
      <w:tblPr>
        <w:tblStyle w:val="3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18"/>
        <w:gridCol w:w="520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项目</w:t>
            </w:r>
          </w:p>
        </w:tc>
        <w:tc>
          <w:tcPr>
            <w:tcW w:w="520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评审标准</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1</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210"/>
            </w:pPr>
            <w:r>
              <w:rPr>
                <w:rFonts w:hint="eastAsia"/>
              </w:rPr>
              <w:t>类似业绩</w:t>
            </w:r>
          </w:p>
        </w:tc>
        <w:tc>
          <w:tcPr>
            <w:tcW w:w="52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rPr>
            </w:pPr>
            <w:r>
              <w:rPr>
                <w:rFonts w:hint="eastAsia"/>
                <w:szCs w:val="21"/>
              </w:rPr>
              <w:t>投标人2019年1月1日至今具有的类似业绩，每有1个得5分，最高得10分。（提供合同扫描件，时间以合同签订日期为准）</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2</w:t>
            </w:r>
          </w:p>
        </w:tc>
        <w:tc>
          <w:tcPr>
            <w:tcW w:w="1418" w:type="dxa"/>
            <w:tcBorders>
              <w:top w:val="single" w:color="auto" w:sz="4" w:space="0"/>
              <w:left w:val="single" w:color="auto" w:sz="4" w:space="0"/>
              <w:bottom w:val="single" w:color="auto" w:sz="4" w:space="0"/>
              <w:right w:val="single" w:color="auto" w:sz="4" w:space="0"/>
            </w:tcBorders>
            <w:vAlign w:val="center"/>
          </w:tcPr>
          <w:p>
            <w:pPr>
              <w:pStyle w:val="9"/>
              <w:spacing w:line="360" w:lineRule="auto"/>
              <w:ind w:firstLine="0" w:firstLineChars="0"/>
            </w:pPr>
            <w:r>
              <w:rPr>
                <w:rFonts w:hint="eastAsia"/>
                <w:szCs w:val="22"/>
              </w:rPr>
              <w:t>拟派项目组成人员</w:t>
            </w:r>
          </w:p>
        </w:tc>
        <w:tc>
          <w:tcPr>
            <w:tcW w:w="5206"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Cs w:val="21"/>
              </w:rPr>
            </w:pPr>
            <w:r>
              <w:rPr>
                <w:rFonts w:hint="eastAsia"/>
                <w:szCs w:val="22"/>
              </w:rPr>
              <w:t>拟派项目组成人员</w:t>
            </w:r>
            <w:r>
              <w:rPr>
                <w:rFonts w:hint="eastAsia" w:ascii="宋体" w:hAnsi="宋体" w:cs="宋体"/>
                <w:szCs w:val="21"/>
              </w:rPr>
              <w:t>在</w:t>
            </w:r>
            <w:r>
              <w:rPr>
                <w:rFonts w:hint="eastAsia"/>
                <w:szCs w:val="21"/>
              </w:rPr>
              <w:t>满足资格要求的前提下，每多一个</w:t>
            </w:r>
            <w:r>
              <w:rPr>
                <w:rFonts w:hint="eastAsia"/>
              </w:rPr>
              <w:t>一级注册造价工程师加2.5分，最多加5份</w:t>
            </w:r>
            <w:r>
              <w:rPr>
                <w:rFonts w:hint="eastAsia"/>
                <w:szCs w:val="21"/>
              </w:rPr>
              <w:t>。</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3</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优惠承诺</w:t>
            </w:r>
          </w:p>
          <w:p>
            <w:pPr>
              <w:pStyle w:val="9"/>
              <w:spacing w:line="360" w:lineRule="auto"/>
              <w:ind w:firstLine="210"/>
              <w:rPr>
                <w:szCs w:val="24"/>
              </w:rPr>
            </w:pPr>
          </w:p>
        </w:tc>
        <w:tc>
          <w:tcPr>
            <w:tcW w:w="5206" w:type="dxa"/>
            <w:tcBorders>
              <w:top w:val="single" w:color="auto" w:sz="4" w:space="0"/>
              <w:left w:val="single" w:color="auto" w:sz="4" w:space="0"/>
              <w:bottom w:val="single" w:color="auto" w:sz="4" w:space="0"/>
              <w:right w:val="single" w:color="auto" w:sz="4" w:space="0"/>
            </w:tcBorders>
            <w:vAlign w:val="center"/>
          </w:tcPr>
          <w:p>
            <w:pPr>
              <w:spacing w:line="340" w:lineRule="exact"/>
              <w:rPr>
                <w:szCs w:val="21"/>
              </w:rPr>
            </w:pPr>
            <w:r>
              <w:rPr>
                <w:rFonts w:hint="eastAsia"/>
                <w:szCs w:val="21"/>
              </w:rPr>
              <w:t>优惠承诺应是书面的符合项目实际情况，确保依法依规，优惠合理，详实可行的基础上分为三个档次：</w:t>
            </w:r>
          </w:p>
          <w:p>
            <w:pPr>
              <w:spacing w:line="340" w:lineRule="exact"/>
              <w:rPr>
                <w:szCs w:val="21"/>
              </w:rPr>
            </w:pPr>
            <w:r>
              <w:rPr>
                <w:rFonts w:hint="eastAsia"/>
                <w:szCs w:val="21"/>
              </w:rPr>
              <w:t>第一档得：5分（不存在非实质性问题）；</w:t>
            </w:r>
          </w:p>
          <w:p>
            <w:pPr>
              <w:spacing w:line="340" w:lineRule="exact"/>
              <w:rPr>
                <w:szCs w:val="21"/>
              </w:rPr>
            </w:pPr>
            <w:r>
              <w:rPr>
                <w:rFonts w:hint="eastAsia"/>
                <w:szCs w:val="21"/>
              </w:rPr>
              <w:t>第二档得：3分（1-3处非实质性问题）；</w:t>
            </w:r>
          </w:p>
          <w:p>
            <w:pPr>
              <w:spacing w:line="340" w:lineRule="exact"/>
              <w:rPr>
                <w:szCs w:val="21"/>
              </w:rPr>
            </w:pPr>
            <w:r>
              <w:rPr>
                <w:rFonts w:hint="eastAsia"/>
                <w:szCs w:val="21"/>
              </w:rPr>
              <w:t>第三档得：1分（3处以上非实质性问题）；</w:t>
            </w:r>
          </w:p>
          <w:p>
            <w:pPr>
              <w:spacing w:line="340" w:lineRule="exact"/>
              <w:rPr>
                <w:szCs w:val="21"/>
              </w:rPr>
            </w:pPr>
            <w:r>
              <w:rPr>
                <w:rFonts w:hint="eastAsia"/>
                <w:szCs w:val="21"/>
              </w:rPr>
              <w:t>缺项不得分。</w:t>
            </w:r>
          </w:p>
          <w:p>
            <w:pPr>
              <w:spacing w:line="360" w:lineRule="auto"/>
              <w:jc w:val="left"/>
              <w:rPr>
                <w:szCs w:val="21"/>
              </w:rPr>
            </w:pPr>
            <w:r>
              <w:rPr>
                <w:rFonts w:hint="eastAsia"/>
                <w:szCs w:val="21"/>
              </w:rPr>
              <w:t>非实质性问题是指：存在漏项或虽有内容但描述不完整，无法实现预期目标的、空洞罗列内容、逻辑错误、不可能实现的夸大情形、不结合项目实际直接套用其他项目内容的情况。</w:t>
            </w:r>
          </w:p>
        </w:tc>
        <w:tc>
          <w:tcPr>
            <w:tcW w:w="16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21"/>
              </w:rPr>
            </w:pPr>
            <w:r>
              <w:rPr>
                <w:rFonts w:hint="eastAsia"/>
                <w:szCs w:val="21"/>
              </w:rPr>
              <w:t>0-5</w:t>
            </w:r>
          </w:p>
        </w:tc>
      </w:tr>
    </w:tbl>
    <w:p>
      <w:pPr>
        <w:spacing w:line="360" w:lineRule="auto"/>
        <w:ind w:firstLine="422" w:firstLineChars="200"/>
        <w:rPr>
          <w:b/>
        </w:rPr>
      </w:pPr>
      <w:r>
        <w:rPr>
          <w:rFonts w:hint="eastAsia"/>
          <w:b/>
        </w:rPr>
        <w:t>注：1、本评标办法中与本招标文件其他处内容不一致时，以本评标办法为准，若本评标办法前附表与评标办法正文、附件不一致时以评标前附表为准，本评标办法总分值与分项分值不一致时，以分项分值为准（明显有误除外）</w:t>
      </w:r>
    </w:p>
    <w:p>
      <w:pPr>
        <w:spacing w:line="360" w:lineRule="auto"/>
        <w:ind w:firstLine="632" w:firstLineChars="300"/>
        <w:rPr>
          <w:rFonts w:ascii="宋体" w:hAnsi="宋体"/>
        </w:rPr>
        <w:sectPr>
          <w:footerReference r:id="rId3" w:type="default"/>
          <w:pgSz w:w="11906" w:h="16838"/>
          <w:pgMar w:top="1418" w:right="1134" w:bottom="1418" w:left="1134" w:header="851" w:footer="992" w:gutter="0"/>
          <w:pgNumType w:start="1"/>
          <w:cols w:space="720" w:num="1"/>
          <w:docGrid w:type="lines" w:linePitch="312" w:charSpace="0"/>
        </w:sectPr>
      </w:pPr>
      <w:r>
        <w:rPr>
          <w:rFonts w:hint="eastAsia"/>
          <w:b/>
        </w:rPr>
        <w:t>2、本评标办法中涉及的证件均以扫描件为准，未提供扫描件的或扫描件模糊无法辨别的不得分。</w:t>
      </w:r>
    </w:p>
    <w:p>
      <w:pPr>
        <w:pStyle w:val="2"/>
        <w:rPr>
          <w:rFonts w:ascii="宋体" w:hAnsi="宋体" w:eastAsia="宋体"/>
        </w:rPr>
      </w:pPr>
      <w:bookmarkStart w:id="227" w:name="_Toc512597559"/>
      <w:bookmarkStart w:id="228" w:name="_Toc25139"/>
      <w:bookmarkStart w:id="229" w:name="_Toc184635093"/>
      <w:r>
        <w:rPr>
          <w:rFonts w:hint="eastAsia" w:ascii="宋体" w:hAnsi="宋体" w:eastAsia="宋体"/>
        </w:rPr>
        <w:t>1、评标方法</w:t>
      </w:r>
      <w:bookmarkEnd w:id="227"/>
      <w:bookmarkEnd w:id="228"/>
      <w:bookmarkEnd w:id="229"/>
    </w:p>
    <w:p>
      <w:pPr>
        <w:spacing w:line="400" w:lineRule="exact"/>
        <w:ind w:firstLine="420" w:firstLineChars="200"/>
        <w:rPr>
          <w:rFonts w:ascii="宋体" w:hAnsi="宋体"/>
        </w:rPr>
      </w:pPr>
      <w:r>
        <w:rPr>
          <w:rFonts w:hint="eastAsia" w:ascii="宋体" w:hAnsi="宋体"/>
        </w:rPr>
        <w:t>本次评标采用综合评分法。评标委员会对满足招标文件实质性要求的投标文件，按照本章规定的评分标准进行打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2"/>
        <w:rPr>
          <w:rFonts w:ascii="宋体" w:hAnsi="宋体" w:eastAsia="宋体"/>
        </w:rPr>
      </w:pPr>
      <w:bookmarkStart w:id="230" w:name="_Toc12755"/>
      <w:bookmarkStart w:id="231" w:name="_Toc184635094"/>
      <w:bookmarkStart w:id="232" w:name="_Toc512597560"/>
      <w:r>
        <w:rPr>
          <w:rFonts w:hint="eastAsia" w:ascii="宋体" w:hAnsi="宋体" w:eastAsia="宋体"/>
        </w:rPr>
        <w:t>2、评审标准</w:t>
      </w:r>
      <w:bookmarkEnd w:id="230"/>
      <w:bookmarkEnd w:id="231"/>
      <w:bookmarkEnd w:id="232"/>
    </w:p>
    <w:p>
      <w:pPr>
        <w:pStyle w:val="4"/>
        <w:rPr>
          <w:rFonts w:ascii="宋体" w:hAnsi="宋体"/>
        </w:rPr>
      </w:pPr>
      <w:bookmarkStart w:id="233" w:name="_Toc23628"/>
      <w:bookmarkStart w:id="234" w:name="_Toc6170"/>
      <w:bookmarkStart w:id="235" w:name="_Toc512597561"/>
      <w:r>
        <w:rPr>
          <w:rFonts w:hint="eastAsia" w:ascii="宋体" w:hAnsi="宋体"/>
        </w:rPr>
        <w:t>2.1 初步评审标准</w:t>
      </w:r>
      <w:bookmarkEnd w:id="233"/>
      <w:bookmarkEnd w:id="234"/>
      <w:bookmarkEnd w:id="235"/>
    </w:p>
    <w:p>
      <w:pPr>
        <w:spacing w:line="360" w:lineRule="auto"/>
        <w:ind w:firstLine="420" w:firstLineChars="200"/>
        <w:rPr>
          <w:rFonts w:ascii="宋体" w:hAnsi="宋体"/>
        </w:rPr>
      </w:pPr>
      <w:r>
        <w:rPr>
          <w:rFonts w:hint="eastAsia" w:ascii="宋体" w:hAnsi="宋体"/>
        </w:rPr>
        <w:t>2.1.1 资格评审标准：见评标办法前附表。</w:t>
      </w:r>
    </w:p>
    <w:p>
      <w:pPr>
        <w:spacing w:line="360" w:lineRule="auto"/>
        <w:ind w:firstLine="420" w:firstLineChars="200"/>
        <w:rPr>
          <w:rFonts w:ascii="宋体" w:hAnsi="宋体"/>
        </w:rPr>
      </w:pPr>
      <w:r>
        <w:rPr>
          <w:rFonts w:hint="eastAsia" w:ascii="宋体" w:hAnsi="宋体"/>
        </w:rPr>
        <w:t>2.1.2 初步评审标准：见评标办法前附表。</w:t>
      </w:r>
    </w:p>
    <w:p>
      <w:pPr>
        <w:pStyle w:val="4"/>
        <w:rPr>
          <w:rFonts w:ascii="宋体" w:hAnsi="宋体"/>
        </w:rPr>
      </w:pPr>
      <w:bookmarkStart w:id="236" w:name="_Toc512597562"/>
      <w:bookmarkStart w:id="237" w:name="_Toc26984"/>
      <w:bookmarkStart w:id="238" w:name="_Toc2823"/>
      <w:r>
        <w:rPr>
          <w:rFonts w:hint="eastAsia" w:ascii="宋体" w:hAnsi="宋体"/>
        </w:rPr>
        <w:t>2.2 分值构成与评分标准</w:t>
      </w:r>
      <w:bookmarkEnd w:id="236"/>
      <w:bookmarkEnd w:id="237"/>
      <w:bookmarkEnd w:id="238"/>
    </w:p>
    <w:p>
      <w:pPr>
        <w:spacing w:line="360" w:lineRule="auto"/>
        <w:ind w:firstLine="420" w:firstLineChars="200"/>
        <w:rPr>
          <w:rFonts w:ascii="宋体" w:hAnsi="宋体"/>
        </w:rPr>
      </w:pPr>
      <w:r>
        <w:rPr>
          <w:rFonts w:hint="eastAsia" w:ascii="宋体" w:hAnsi="宋体"/>
        </w:rPr>
        <w:t>2.2.1 分值构成</w:t>
      </w:r>
    </w:p>
    <w:p>
      <w:pPr>
        <w:spacing w:line="360" w:lineRule="auto"/>
        <w:ind w:firstLine="420" w:firstLineChars="200"/>
        <w:rPr>
          <w:rFonts w:ascii="宋体" w:hAnsi="宋体"/>
        </w:rPr>
      </w:pPr>
      <w:r>
        <w:rPr>
          <w:rFonts w:hint="eastAsia" w:ascii="宋体" w:hAnsi="宋体"/>
        </w:rPr>
        <w:t>(l）报价部分：见评标办法前附表；</w:t>
      </w:r>
    </w:p>
    <w:p>
      <w:pPr>
        <w:numPr>
          <w:ilvl w:val="0"/>
          <w:numId w:val="3"/>
        </w:numPr>
        <w:spacing w:line="360" w:lineRule="auto"/>
        <w:ind w:firstLine="420" w:firstLineChars="200"/>
        <w:rPr>
          <w:rFonts w:ascii="宋体" w:hAnsi="宋体"/>
        </w:rPr>
      </w:pPr>
      <w:r>
        <w:rPr>
          <w:rFonts w:hint="eastAsia" w:ascii="宋体" w:hAnsi="宋体"/>
        </w:rPr>
        <w:t>技术部分：见评标办法前附表；</w:t>
      </w:r>
    </w:p>
    <w:p>
      <w:pPr>
        <w:spacing w:line="360" w:lineRule="auto"/>
        <w:ind w:firstLine="420" w:firstLineChars="200"/>
        <w:rPr>
          <w:rFonts w:ascii="宋体" w:hAnsi="宋体"/>
        </w:rPr>
      </w:pPr>
      <w:r>
        <w:rPr>
          <w:rFonts w:hint="eastAsia" w:ascii="宋体" w:hAnsi="宋体"/>
        </w:rPr>
        <w:t>(3）综合部分：见评标办法前附表；</w:t>
      </w:r>
    </w:p>
    <w:p>
      <w:pPr>
        <w:spacing w:line="360" w:lineRule="auto"/>
        <w:ind w:firstLine="420" w:firstLineChars="200"/>
        <w:rPr>
          <w:rFonts w:ascii="宋体" w:hAnsi="宋体"/>
        </w:rPr>
      </w:pPr>
      <w:r>
        <w:rPr>
          <w:rFonts w:hint="eastAsia" w:ascii="宋体" w:hAnsi="宋体"/>
        </w:rPr>
        <w:t>2.2.2 评标基准价计算</w:t>
      </w:r>
    </w:p>
    <w:p>
      <w:pPr>
        <w:spacing w:line="360" w:lineRule="auto"/>
        <w:ind w:firstLine="420" w:firstLineChars="200"/>
        <w:rPr>
          <w:rFonts w:ascii="宋体" w:hAnsi="宋体"/>
        </w:rPr>
      </w:pPr>
      <w:r>
        <w:rPr>
          <w:rFonts w:hint="eastAsia" w:ascii="宋体" w:hAnsi="宋体"/>
        </w:rPr>
        <w:t>评标基准价计算方法：见评标办法前附表。</w:t>
      </w:r>
    </w:p>
    <w:p>
      <w:pPr>
        <w:spacing w:line="360" w:lineRule="auto"/>
        <w:ind w:firstLine="420" w:firstLineChars="200"/>
        <w:rPr>
          <w:rFonts w:ascii="宋体" w:hAnsi="宋体"/>
        </w:rPr>
      </w:pPr>
      <w:r>
        <w:rPr>
          <w:rFonts w:hint="eastAsia" w:ascii="宋体" w:hAnsi="宋体"/>
        </w:rPr>
        <w:t>2.2.3 评分标准</w:t>
      </w:r>
      <w:bookmarkStart w:id="239" w:name="_Toc184635095"/>
      <w:r>
        <w:rPr>
          <w:rFonts w:hint="eastAsia" w:ascii="宋体" w:hAnsi="宋体"/>
        </w:rPr>
        <w:t>:见评标办法前附表；</w:t>
      </w:r>
    </w:p>
    <w:p>
      <w:pPr>
        <w:pStyle w:val="2"/>
        <w:rPr>
          <w:rFonts w:ascii="宋体" w:hAnsi="宋体" w:eastAsia="宋体"/>
        </w:rPr>
      </w:pPr>
      <w:bookmarkStart w:id="240" w:name="_Toc512597563"/>
      <w:bookmarkStart w:id="241" w:name="_Toc17876"/>
      <w:r>
        <w:rPr>
          <w:rFonts w:hint="eastAsia" w:ascii="宋体" w:hAnsi="宋体" w:eastAsia="宋体"/>
        </w:rPr>
        <w:t>3、评标程序</w:t>
      </w:r>
      <w:bookmarkEnd w:id="239"/>
      <w:bookmarkEnd w:id="240"/>
      <w:bookmarkEnd w:id="241"/>
    </w:p>
    <w:p>
      <w:pPr>
        <w:pStyle w:val="4"/>
        <w:rPr>
          <w:rFonts w:ascii="宋体" w:hAnsi="宋体"/>
        </w:rPr>
      </w:pPr>
      <w:bookmarkStart w:id="242" w:name="_Toc26030"/>
      <w:bookmarkStart w:id="243" w:name="_Toc3104"/>
      <w:bookmarkStart w:id="244" w:name="_Toc512597564"/>
      <w:r>
        <w:rPr>
          <w:rFonts w:hint="eastAsia" w:ascii="宋体" w:hAnsi="宋体"/>
        </w:rPr>
        <w:t>3.1 资格评审</w:t>
      </w:r>
      <w:bookmarkEnd w:id="242"/>
      <w:bookmarkEnd w:id="243"/>
      <w:bookmarkEnd w:id="244"/>
    </w:p>
    <w:p>
      <w:pPr>
        <w:spacing w:line="360" w:lineRule="auto"/>
        <w:ind w:firstLine="420" w:firstLineChars="200"/>
        <w:rPr>
          <w:rFonts w:ascii="宋体" w:hAnsi="宋体"/>
        </w:rPr>
      </w:pPr>
      <w:r>
        <w:rPr>
          <w:rFonts w:hint="eastAsia" w:ascii="宋体" w:hAnsi="宋体"/>
        </w:rPr>
        <w:t>3.1.1 采购人或者采购代理机构依据评标办法前附表1.1对投标人的资格进行审查。有一项不符合评审标准的，资格评审不通过。</w:t>
      </w:r>
    </w:p>
    <w:p>
      <w:pPr>
        <w:spacing w:line="360" w:lineRule="auto"/>
        <w:rPr>
          <w:rFonts w:ascii="宋体" w:hAnsi="宋体"/>
          <w:b/>
          <w:sz w:val="24"/>
          <w:szCs w:val="22"/>
        </w:rPr>
      </w:pPr>
      <w:r>
        <w:rPr>
          <w:rFonts w:hint="eastAsia" w:ascii="宋体" w:hAnsi="宋体"/>
          <w:b/>
          <w:sz w:val="24"/>
          <w:szCs w:val="22"/>
        </w:rPr>
        <w:t>3.2 初步评审</w:t>
      </w:r>
    </w:p>
    <w:p>
      <w:pPr>
        <w:spacing w:line="360" w:lineRule="auto"/>
        <w:ind w:firstLine="482" w:firstLineChars="200"/>
      </w:pPr>
      <w:r>
        <w:rPr>
          <w:rFonts w:hint="eastAsia" w:ascii="宋体" w:hAnsi="宋体"/>
          <w:b/>
          <w:sz w:val="24"/>
          <w:szCs w:val="22"/>
        </w:rPr>
        <w:t>3.2.1</w:t>
      </w:r>
      <w:r>
        <w:rPr>
          <w:rFonts w:hint="eastAsia" w:ascii="宋体" w:hAnsi="宋体"/>
        </w:rPr>
        <w:t>评标委员会依据评标办法前附表1.2对投标人进行初步评审。有一项不符合评审标准的，初步评审不通过。</w:t>
      </w:r>
    </w:p>
    <w:p>
      <w:pPr>
        <w:spacing w:line="360" w:lineRule="auto"/>
        <w:ind w:firstLine="422" w:firstLineChars="200"/>
        <w:rPr>
          <w:rFonts w:ascii="宋体" w:hAnsi="宋体"/>
          <w:b/>
          <w:bCs/>
        </w:rPr>
      </w:pPr>
      <w:r>
        <w:rPr>
          <w:rFonts w:hint="eastAsia" w:ascii="宋体" w:hAnsi="宋体"/>
          <w:b/>
          <w:bCs/>
        </w:rPr>
        <w:t>3.2.2 投标人有以下情形之一的，其投标将被否决：</w:t>
      </w:r>
    </w:p>
    <w:p>
      <w:pPr>
        <w:spacing w:line="360" w:lineRule="auto"/>
        <w:ind w:firstLine="422" w:firstLineChars="200"/>
        <w:rPr>
          <w:rFonts w:ascii="宋体" w:hAnsi="宋体"/>
          <w:b/>
          <w:bCs/>
        </w:rPr>
      </w:pPr>
      <w:r>
        <w:rPr>
          <w:rFonts w:hint="eastAsia" w:ascii="宋体" w:hAnsi="宋体"/>
          <w:b/>
          <w:bCs/>
        </w:rPr>
        <w:t>(l）串通投标或弄虚作假或有其他违法行为的；</w:t>
      </w:r>
    </w:p>
    <w:p>
      <w:pPr>
        <w:spacing w:line="360" w:lineRule="auto"/>
        <w:ind w:firstLine="422" w:firstLineChars="200"/>
        <w:rPr>
          <w:rFonts w:ascii="宋体" w:hAnsi="宋体"/>
          <w:b/>
          <w:bCs/>
        </w:rPr>
      </w:pPr>
      <w:r>
        <w:rPr>
          <w:rFonts w:hint="eastAsia" w:ascii="宋体" w:hAnsi="宋体"/>
          <w:b/>
          <w:bCs/>
        </w:rPr>
        <w:t>(2）不按评标委员会要求澄清、说明或补正的。</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3.2.2.1有下列情形之一的，视为投标人相互串通投标：</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（1）不同投标人的投标文件由同一单位或者个人编制；</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（2）不同投标人委托同一单位或者个人办理投标事宜；</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（3）不同投标人的投标文件载明的项目管理成员为同一人；</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（4）不同投标人的投标文件异常一致或者投标报价呈规律性差异；</w:t>
      </w:r>
    </w:p>
    <w:p>
      <w:pPr>
        <w:autoSpaceDE w:val="0"/>
        <w:autoSpaceDN w:val="0"/>
        <w:adjustRightInd w:val="0"/>
        <w:snapToGrid w:val="0"/>
        <w:spacing w:before="156" w:beforeLines="50" w:line="360" w:lineRule="auto"/>
        <w:ind w:firstLine="1058" w:firstLineChars="504"/>
        <w:jc w:val="left"/>
        <w:rPr>
          <w:rFonts w:ascii="宋体" w:hAnsi="宋体"/>
          <w:kern w:val="0"/>
        </w:rPr>
      </w:pPr>
      <w:r>
        <w:rPr>
          <w:rFonts w:hint="eastAsia" w:ascii="宋体" w:hAnsi="宋体"/>
          <w:kern w:val="0"/>
        </w:rPr>
        <w:t xml:space="preserve"> （5）不同投标人的投标文件相互混装；</w:t>
      </w:r>
    </w:p>
    <w:p>
      <w:pPr>
        <w:autoSpaceDE w:val="0"/>
        <w:autoSpaceDN w:val="0"/>
        <w:adjustRightInd w:val="0"/>
        <w:snapToGrid w:val="0"/>
        <w:spacing w:before="156" w:beforeLines="50" w:line="360" w:lineRule="auto"/>
        <w:ind w:firstLine="1058" w:firstLineChars="504"/>
        <w:jc w:val="left"/>
        <w:rPr>
          <w:rFonts w:ascii="宋体" w:hAnsi="宋体"/>
        </w:rPr>
      </w:pPr>
      <w:r>
        <w:rPr>
          <w:rFonts w:hint="eastAsia" w:ascii="宋体" w:hAnsi="宋体"/>
          <w:kern w:val="0"/>
        </w:rPr>
        <w:t xml:space="preserve"> （6）不同投标人的投标保证金从同一单位或者个人的账户转出。</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3.2.2.2参与同一个标段（包）的供应商存在下列情形之一的，其投标（响应）文件无效：</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（一）不同供应商的电子投标（响应）文件上传计算机的网卡MAC地址、CPU序列号和硬盘序列号等硬件信息相同的；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（二）不同供应商的投标（响应）文件由同一电子设备编制、打印加密或者上传；</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（三）不同供应商的投标（响应）文件由同一电子设备打印、复印；</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（四）不同供应商的投标（响应）文件由同一人送达或者分发，或者不同供应商联系人为同一人或不同联系人的联系电话一致的；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（五）不同供应商的投标（响应）文件的内容存在两处以上细节错误一致；</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（六）不同供应商的法定代表人、委托代理人、项目经理、项目负责人等由同一个单位缴纳社会保险或者领取报酬的；</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（七）不同供应商投标（响应）文件中法定代表人或者负责人签字出自同一人之手；</w:t>
      </w:r>
    </w:p>
    <w:p>
      <w:pPr>
        <w:autoSpaceDE w:val="0"/>
        <w:autoSpaceDN w:val="0"/>
        <w:adjustRightInd w:val="0"/>
        <w:snapToGrid w:val="0"/>
        <w:spacing w:before="156" w:beforeLines="50" w:line="360" w:lineRule="auto"/>
        <w:ind w:firstLine="1058" w:firstLineChars="504"/>
        <w:jc w:val="left"/>
        <w:rPr>
          <w:rFonts w:ascii="宋体" w:hAnsi="宋体"/>
          <w:kern w:val="0"/>
          <w:szCs w:val="22"/>
        </w:rPr>
      </w:pPr>
      <w:r>
        <w:rPr>
          <w:rFonts w:hint="eastAsia" w:ascii="宋体" w:hAnsi="宋体"/>
          <w:kern w:val="0"/>
          <w:szCs w:val="22"/>
        </w:rPr>
        <w:t>（八）其它涉嫌串通的情形。</w:t>
      </w:r>
    </w:p>
    <w:p>
      <w:pPr>
        <w:spacing w:line="360" w:lineRule="auto"/>
        <w:ind w:firstLine="420"/>
        <w:rPr>
          <w:rFonts w:ascii="宋体" w:hAnsi="宋体"/>
        </w:rPr>
      </w:pPr>
      <w:r>
        <w:rPr>
          <w:rFonts w:hint="eastAsia" w:ascii="宋体" w:hAnsi="宋体"/>
          <w:b/>
          <w:sz w:val="24"/>
          <w:szCs w:val="22"/>
        </w:rPr>
        <w:t xml:space="preserve">3.2.3 </w:t>
      </w:r>
      <w:r>
        <w:rPr>
          <w:rFonts w:hint="eastAsia" w:ascii="宋体" w:hAnsi="宋体"/>
          <w:szCs w:val="22"/>
        </w:rPr>
        <w:t>投标</w:t>
      </w:r>
      <w:r>
        <w:rPr>
          <w:rFonts w:hint="eastAsia" w:ascii="宋体" w:hAnsi="宋体"/>
        </w:rPr>
        <w:t>报价有算术错误的，评标委员会按以下原则对投标报价进行修正，修正的价格经投标人确认后具有约束力。投标人不接受修正价格的，其投标将被否决。</w:t>
      </w:r>
      <w:bookmarkStart w:id="245" w:name="_Toc28054"/>
      <w:bookmarkStart w:id="246" w:name="_Toc512597565"/>
    </w:p>
    <w:p>
      <w:pPr>
        <w:spacing w:line="360" w:lineRule="auto"/>
        <w:ind w:firstLine="420"/>
        <w:rPr>
          <w:rFonts w:ascii="宋体" w:hAnsi="宋体"/>
          <w:szCs w:val="22"/>
        </w:rPr>
      </w:pPr>
      <w:r>
        <w:rPr>
          <w:rFonts w:hint="eastAsia" w:ascii="宋体" w:hAnsi="宋体"/>
          <w:szCs w:val="22"/>
        </w:rPr>
        <w:t>（一）投标文件中开标一览表（报价表）内容与投标文件中相应内容不一致的，以开标一览表（报价表）为准；</w:t>
      </w:r>
    </w:p>
    <w:p>
      <w:pPr>
        <w:spacing w:line="360" w:lineRule="auto"/>
        <w:ind w:firstLine="420"/>
        <w:rPr>
          <w:rFonts w:ascii="宋体" w:hAnsi="宋体"/>
          <w:szCs w:val="22"/>
        </w:rPr>
      </w:pPr>
      <w:r>
        <w:rPr>
          <w:rFonts w:hint="eastAsia" w:ascii="宋体" w:hAnsi="宋体"/>
          <w:szCs w:val="22"/>
        </w:rPr>
        <w:t>（二）大写金额和小写金额不一致的，以大写金额为准；</w:t>
      </w:r>
    </w:p>
    <w:p>
      <w:pPr>
        <w:spacing w:line="360" w:lineRule="auto"/>
        <w:ind w:firstLine="420"/>
        <w:rPr>
          <w:rFonts w:ascii="宋体" w:hAnsi="宋体"/>
          <w:szCs w:val="22"/>
        </w:rPr>
      </w:pPr>
      <w:r>
        <w:rPr>
          <w:rFonts w:hint="eastAsia" w:ascii="宋体" w:hAnsi="宋体"/>
          <w:szCs w:val="22"/>
        </w:rPr>
        <w:t>（三）单价金额小数点或者百分比有明显错位的，以开标一览表的总价为准，并修改单价；</w:t>
      </w:r>
    </w:p>
    <w:p>
      <w:pPr>
        <w:spacing w:line="360" w:lineRule="auto"/>
        <w:ind w:firstLine="420"/>
        <w:rPr>
          <w:rFonts w:ascii="宋体" w:hAnsi="宋体"/>
          <w:szCs w:val="22"/>
        </w:rPr>
      </w:pPr>
      <w:r>
        <w:rPr>
          <w:rFonts w:hint="eastAsia" w:ascii="宋体" w:hAnsi="宋体"/>
          <w:szCs w:val="22"/>
        </w:rPr>
        <w:t>（四）总价金额与按单价汇总金额不一致的，以单价金额计算结果为准。</w:t>
      </w:r>
    </w:p>
    <w:p>
      <w:pPr>
        <w:spacing w:line="360" w:lineRule="auto"/>
        <w:ind w:firstLine="420"/>
        <w:rPr>
          <w:rFonts w:ascii="宋体" w:hAnsi="宋体"/>
          <w:szCs w:val="22"/>
        </w:rPr>
      </w:pPr>
      <w:r>
        <w:rPr>
          <w:rFonts w:hint="eastAsia" w:ascii="宋体" w:hAnsi="宋体"/>
          <w:szCs w:val="22"/>
        </w:rPr>
        <w:t>同时出现两种以上不一致的，按照前款规定的顺序修正。修正后的报价经投标人确认后产生约束力，投标人不确认的，其投标无效</w:t>
      </w:r>
    </w:p>
    <w:p>
      <w:pPr>
        <w:pStyle w:val="4"/>
        <w:ind w:firstLine="420"/>
        <w:rPr>
          <w:rFonts w:ascii="宋体" w:hAnsi="宋体"/>
        </w:rPr>
      </w:pPr>
      <w:bookmarkStart w:id="247" w:name="_Toc12820"/>
      <w:r>
        <w:rPr>
          <w:rFonts w:hint="eastAsia" w:ascii="宋体" w:hAnsi="宋体"/>
        </w:rPr>
        <w:t>3.2 详细评审</w:t>
      </w:r>
      <w:bookmarkEnd w:id="245"/>
      <w:bookmarkEnd w:id="246"/>
      <w:bookmarkEnd w:id="247"/>
    </w:p>
    <w:p>
      <w:pPr>
        <w:spacing w:line="360" w:lineRule="auto"/>
        <w:ind w:firstLine="420" w:firstLineChars="200"/>
        <w:rPr>
          <w:rFonts w:ascii="宋体" w:hAnsi="宋体"/>
        </w:rPr>
      </w:pPr>
      <w:r>
        <w:rPr>
          <w:rFonts w:hint="eastAsia" w:ascii="宋体" w:hAnsi="宋体"/>
        </w:rPr>
        <w:t>3.2.1 评标委员会按本章规定的量化因素和分值进行打分，并计算出综合评估得分。</w:t>
      </w:r>
    </w:p>
    <w:p>
      <w:pPr>
        <w:spacing w:line="360" w:lineRule="auto"/>
        <w:ind w:firstLine="420" w:firstLineChars="200"/>
        <w:rPr>
          <w:rFonts w:ascii="宋体" w:hAnsi="宋体"/>
        </w:rPr>
      </w:pPr>
      <w:r>
        <w:rPr>
          <w:rFonts w:hint="eastAsia" w:ascii="宋体" w:hAnsi="宋体"/>
        </w:rPr>
        <w:t>3.2.2 评分分值计算保留小数点后两位，小数点后第三位“四舍五入”。</w:t>
      </w:r>
    </w:p>
    <w:p>
      <w:pPr>
        <w:spacing w:line="360" w:lineRule="auto"/>
        <w:ind w:firstLine="420" w:firstLineChars="200"/>
        <w:rPr>
          <w:rFonts w:ascii="宋体" w:hAnsi="宋体"/>
        </w:rPr>
      </w:pPr>
      <w:r>
        <w:rPr>
          <w:rFonts w:hint="eastAsia" w:ascii="宋体" w:hAnsi="宋体"/>
        </w:rPr>
        <w:t>3.2.3 最终得分为各个评委计分的算术平均值。</w:t>
      </w:r>
    </w:p>
    <w:p>
      <w:pPr>
        <w:pStyle w:val="4"/>
        <w:rPr>
          <w:rFonts w:ascii="宋体" w:hAnsi="宋体"/>
        </w:rPr>
      </w:pPr>
      <w:bookmarkStart w:id="248" w:name="_Toc19217"/>
      <w:bookmarkStart w:id="249" w:name="_Toc512597566"/>
      <w:bookmarkStart w:id="250" w:name="_Toc32480"/>
      <w:r>
        <w:rPr>
          <w:rFonts w:hint="eastAsia" w:ascii="宋体" w:hAnsi="宋体"/>
        </w:rPr>
        <w:t>3.3 投标文件的澄清和补正</w:t>
      </w:r>
      <w:bookmarkEnd w:id="248"/>
      <w:bookmarkEnd w:id="249"/>
      <w:bookmarkEnd w:id="250"/>
    </w:p>
    <w:p>
      <w:pPr>
        <w:spacing w:line="360" w:lineRule="auto"/>
        <w:ind w:firstLine="420" w:firstLineChars="200"/>
        <w:rPr>
          <w:rFonts w:ascii="宋体" w:hAnsi="宋体"/>
        </w:rPr>
      </w:pPr>
      <w:r>
        <w:rPr>
          <w:rFonts w:hint="eastAsia" w:ascii="宋体" w:hAnsi="宋体"/>
        </w:rPr>
        <w:t>3.3.1 在评标过程中，评标委员会可以交易系通中发起投标人对所提交投标文件中不明确的内容进行澄清或说明，或者对细微偏差进行补正。评标委员会不接受投标人主动提出的澄清、说明或补正。</w:t>
      </w:r>
    </w:p>
    <w:p>
      <w:pPr>
        <w:spacing w:line="360" w:lineRule="auto"/>
        <w:ind w:firstLine="420" w:firstLineChars="200"/>
        <w:rPr>
          <w:rFonts w:ascii="宋体" w:hAnsi="宋体"/>
        </w:rPr>
      </w:pPr>
      <w:r>
        <w:rPr>
          <w:rFonts w:hint="eastAsia" w:ascii="宋体" w:hAnsi="宋体"/>
        </w:rPr>
        <w:t>3.3.2 澄清、说明和补正不得改变投标文件的实质性内容（算术性错误修正的除外）。投标人的澄清、说明和补正属于投标文件的组成部分。</w:t>
      </w:r>
    </w:p>
    <w:p>
      <w:pPr>
        <w:spacing w:line="360" w:lineRule="auto"/>
        <w:ind w:firstLine="420" w:firstLineChars="200"/>
        <w:rPr>
          <w:rFonts w:ascii="宋体" w:hAnsi="宋体"/>
        </w:rPr>
      </w:pPr>
      <w:r>
        <w:rPr>
          <w:rFonts w:hint="eastAsia" w:ascii="宋体" w:hAnsi="宋体"/>
        </w:rPr>
        <w:t>3.3.3 评标委员会对投标人提交的澄清、说明或补正有疑问的，可以要求投标人进一步澄清、说明或补正，直至满足评标委员会的要求。</w:t>
      </w:r>
    </w:p>
    <w:p>
      <w:pPr>
        <w:pStyle w:val="4"/>
        <w:rPr>
          <w:rFonts w:ascii="宋体" w:hAnsi="宋体"/>
        </w:rPr>
      </w:pPr>
      <w:bookmarkStart w:id="251" w:name="_Toc14967"/>
      <w:bookmarkStart w:id="252" w:name="_Toc8440"/>
      <w:bookmarkStart w:id="253" w:name="_Toc512597567"/>
      <w:r>
        <w:rPr>
          <w:rFonts w:hint="eastAsia" w:ascii="宋体" w:hAnsi="宋体"/>
        </w:rPr>
        <w:t>3.4 评标结果</w:t>
      </w:r>
      <w:bookmarkEnd w:id="251"/>
      <w:bookmarkEnd w:id="252"/>
      <w:bookmarkEnd w:id="253"/>
    </w:p>
    <w:p>
      <w:pPr>
        <w:spacing w:line="360" w:lineRule="auto"/>
        <w:ind w:firstLine="420" w:firstLineChars="200"/>
        <w:rPr>
          <w:rFonts w:ascii="宋体" w:hAnsi="宋体"/>
        </w:rPr>
      </w:pPr>
      <w:r>
        <w:rPr>
          <w:rFonts w:hint="eastAsia" w:ascii="宋体" w:hAnsi="宋体"/>
        </w:rPr>
        <w:t>3.4.1 评标委员会按照得分由高到低的顺序推荐3名中标候选人。</w:t>
      </w:r>
    </w:p>
    <w:p>
      <w:pPr>
        <w:spacing w:line="360" w:lineRule="auto"/>
        <w:ind w:firstLine="420" w:firstLineChars="200"/>
        <w:rPr>
          <w:rFonts w:ascii="宋体" w:hAnsi="宋体"/>
        </w:rPr>
      </w:pPr>
      <w:r>
        <w:rPr>
          <w:rFonts w:hint="eastAsia" w:ascii="宋体" w:hAnsi="宋体"/>
        </w:rPr>
        <w:t>3.4.2 评标委员会完成评标后，应当向采购人提交评标报告。</w:t>
      </w:r>
    </w:p>
    <w:p>
      <w:pPr>
        <w:pStyle w:val="3"/>
        <w:jc w:val="center"/>
        <w:rPr>
          <w:rFonts w:ascii="宋体" w:hAnsi="宋体"/>
          <w:sz w:val="36"/>
          <w:szCs w:val="36"/>
        </w:rPr>
      </w:pPr>
      <w:r>
        <w:rPr>
          <w:rFonts w:ascii="宋体" w:hAnsi="宋体"/>
          <w:b w:val="0"/>
          <w:kern w:val="2"/>
          <w:sz w:val="21"/>
        </w:rPr>
        <w:br w:type="page"/>
      </w:r>
      <w:bookmarkStart w:id="254" w:name="_Toc5097"/>
      <w:bookmarkStart w:id="255" w:name="_Toc29670"/>
      <w:bookmarkStart w:id="256" w:name="_Toc512597568"/>
      <w:r>
        <w:rPr>
          <w:rFonts w:hint="eastAsia" w:ascii="宋体" w:hAnsi="宋体"/>
          <w:sz w:val="36"/>
          <w:szCs w:val="36"/>
        </w:rPr>
        <w:t>第四章 合同条款及格式</w:t>
      </w:r>
      <w:bookmarkEnd w:id="254"/>
      <w:bookmarkEnd w:id="255"/>
      <w:bookmarkEnd w:id="256"/>
    </w:p>
    <w:p>
      <w:pPr>
        <w:rPr>
          <w:rFonts w:ascii="宋体" w:hAnsi="宋体"/>
          <w:sz w:val="36"/>
          <w:szCs w:val="36"/>
        </w:rPr>
      </w:pPr>
      <w:r>
        <w:rPr>
          <w:rFonts w:ascii="宋体" w:hAnsi="宋体"/>
          <w:sz w:val="36"/>
          <w:szCs w:val="36"/>
        </w:rPr>
        <w:br w:type="page"/>
      </w:r>
    </w:p>
    <w:p>
      <w:pPr>
        <w:widowControl/>
        <w:jc w:val="left"/>
        <w:outlineLvl w:val="0"/>
        <w:rPr>
          <w:rFonts w:eastAsia="华文中宋" w:cs="宋体"/>
          <w:b/>
          <w:color w:val="000000"/>
          <w:kern w:val="0"/>
          <w:sz w:val="52"/>
          <w:szCs w:val="52"/>
        </w:rPr>
      </w:pPr>
      <w:r>
        <w:rPr>
          <w:rFonts w:hint="eastAsia" w:ascii="宋体" w:hAnsi="宋体"/>
          <w:sz w:val="22"/>
          <w:szCs w:val="22"/>
        </w:rPr>
        <w:t xml:space="preserve"> </w:t>
      </w:r>
      <w:bookmarkStart w:id="257" w:name="_Toc1727"/>
      <w:bookmarkStart w:id="258" w:name="_Toc399"/>
      <w:bookmarkStart w:id="259" w:name="_Toc6205"/>
      <w:r>
        <w:rPr>
          <w:rFonts w:hint="eastAsia" w:eastAsia="仿宋_GB2312" w:cs="宋体"/>
          <w:bCs/>
          <w:color w:val="000000"/>
          <w:kern w:val="0"/>
          <w:sz w:val="30"/>
          <w:szCs w:val="30"/>
        </w:rPr>
        <w:t>GF—2015—0212</w:t>
      </w:r>
      <w:bookmarkEnd w:id="257"/>
      <w:bookmarkEnd w:id="258"/>
      <w:bookmarkEnd w:id="259"/>
    </w:p>
    <w:p>
      <w:pPr>
        <w:widowControl/>
        <w:ind w:firstLine="6665" w:firstLineChars="2213"/>
        <w:jc w:val="left"/>
        <w:outlineLvl w:val="0"/>
        <w:rPr>
          <w:rFonts w:ascii="宋体" w:hAnsi="宋体" w:cs="宋体"/>
          <w:b/>
          <w:color w:val="000000"/>
          <w:kern w:val="0"/>
          <w:sz w:val="30"/>
          <w:szCs w:val="30"/>
        </w:rPr>
      </w:pPr>
      <w:bookmarkStart w:id="260" w:name="_Toc18693"/>
      <w:bookmarkStart w:id="261" w:name="_Toc11726"/>
      <w:bookmarkStart w:id="262" w:name="_Toc6895"/>
      <w:r>
        <w:rPr>
          <w:rFonts w:hint="eastAsia" w:ascii="宋体" w:hAnsi="宋体" w:cs="宋体"/>
          <w:b/>
          <w:color w:val="000000"/>
          <w:kern w:val="0"/>
          <w:sz w:val="30"/>
          <w:szCs w:val="30"/>
        </w:rPr>
        <w:t>合同编号：</w:t>
      </w:r>
      <w:bookmarkEnd w:id="260"/>
      <w:bookmarkEnd w:id="261"/>
      <w:bookmarkEnd w:id="262"/>
      <w:r>
        <w:rPr>
          <w:rFonts w:hint="eastAsia" w:ascii="宋体" w:hAnsi="宋体" w:cs="宋体"/>
          <w:b/>
          <w:color w:val="000000"/>
          <w:kern w:val="0"/>
          <w:sz w:val="30"/>
          <w:szCs w:val="30"/>
          <w:u w:val="single"/>
        </w:rPr>
        <w:t xml:space="preserve">                                   </w:t>
      </w:r>
    </w:p>
    <w:p>
      <w:pPr>
        <w:widowControl/>
        <w:jc w:val="left"/>
        <w:rPr>
          <w:rFonts w:ascii="宋体" w:hAnsi="宋体" w:cs="宋体"/>
          <w:kern w:val="0"/>
          <w:sz w:val="24"/>
        </w:rPr>
      </w:pPr>
    </w:p>
    <w:p>
      <w:pPr>
        <w:widowControl/>
        <w:jc w:val="left"/>
        <w:rPr>
          <w:rFonts w:ascii="宋体" w:hAnsi="宋体" w:cs="宋体"/>
          <w:kern w:val="0"/>
          <w:sz w:val="24"/>
        </w:rPr>
      </w:pPr>
    </w:p>
    <w:p>
      <w:pPr>
        <w:widowControl/>
        <w:spacing w:line="360" w:lineRule="auto"/>
        <w:jc w:val="center"/>
        <w:rPr>
          <w:rFonts w:ascii="宋体" w:hAnsi="宋体" w:cs="宋体"/>
          <w:b/>
          <w:kern w:val="0"/>
          <w:sz w:val="44"/>
          <w:szCs w:val="44"/>
        </w:rPr>
      </w:pPr>
      <w:r>
        <w:rPr>
          <w:rFonts w:hint="eastAsia" w:ascii="宋体" w:hAnsi="宋体" w:cs="宋体"/>
          <w:b/>
          <w:kern w:val="0"/>
          <w:sz w:val="44"/>
          <w:szCs w:val="44"/>
        </w:rPr>
        <w:t xml:space="preserve"> </w:t>
      </w:r>
    </w:p>
    <w:p>
      <w:pPr>
        <w:widowControl/>
        <w:spacing w:line="360" w:lineRule="auto"/>
        <w:jc w:val="center"/>
        <w:rPr>
          <w:rFonts w:ascii="宋体" w:hAnsi="宋体" w:cs="宋体"/>
          <w:b/>
          <w:kern w:val="0"/>
          <w:sz w:val="44"/>
          <w:szCs w:val="44"/>
        </w:rPr>
      </w:pPr>
    </w:p>
    <w:p>
      <w:pPr>
        <w:widowControl/>
        <w:spacing w:line="360" w:lineRule="auto"/>
        <w:jc w:val="center"/>
        <w:outlineLvl w:val="0"/>
        <w:rPr>
          <w:rFonts w:ascii="宋体" w:hAnsi="宋体" w:cs="宋体"/>
          <w:kern w:val="0"/>
          <w:sz w:val="24"/>
        </w:rPr>
      </w:pPr>
      <w:bookmarkStart w:id="263" w:name="_Toc5442"/>
      <w:bookmarkStart w:id="264" w:name="_Toc27542"/>
      <w:bookmarkStart w:id="265" w:name="_Toc26112"/>
      <w:r>
        <w:rPr>
          <w:rFonts w:ascii="宋体" w:hAnsi="宋体" w:cs="宋体"/>
          <w:b/>
          <w:kern w:val="0"/>
          <w:sz w:val="72"/>
          <w:szCs w:val="72"/>
        </w:rPr>
        <w:t>建设工程造价咨询合同</w:t>
      </w:r>
      <w:r>
        <w:rPr>
          <w:rFonts w:ascii="宋体" w:hAnsi="宋体" w:cs="宋体"/>
          <w:kern w:val="0"/>
          <w:sz w:val="24"/>
        </w:rPr>
        <w:br w:type="textWrapping"/>
      </w:r>
      <w:bookmarkEnd w:id="263"/>
    </w:p>
    <w:p/>
    <w:p/>
    <w:p/>
    <w:p>
      <w:pPr>
        <w:pStyle w:val="19"/>
      </w:pPr>
    </w:p>
    <w:p/>
    <w:p/>
    <w:p>
      <w:pPr>
        <w:rPr>
          <w:rFonts w:ascii="宋体" w:hAnsi="宋体" w:cs="宋体"/>
          <w:kern w:val="0"/>
        </w:rPr>
      </w:pPr>
      <w:r>
        <w:br w:type="textWrapping"/>
      </w:r>
      <w:bookmarkEnd w:id="264"/>
      <w:bookmarkEnd w:id="265"/>
    </w:p>
    <w:p>
      <w:pPr>
        <w:widowControl/>
        <w:jc w:val="left"/>
        <w:rPr>
          <w:rFonts w:ascii="宋体" w:hAnsi="宋体" w:cs="宋体"/>
          <w:kern w:val="0"/>
          <w:sz w:val="32"/>
          <w:szCs w:val="32"/>
        </w:rPr>
      </w:pPr>
    </w:p>
    <w:p>
      <w:pPr>
        <w:widowControl/>
        <w:spacing w:line="360" w:lineRule="auto"/>
        <w:jc w:val="left"/>
        <w:rPr>
          <w:rFonts w:ascii="宋体" w:hAnsi="宋体" w:cs="宋体"/>
          <w:b/>
          <w:bCs/>
          <w:kern w:val="0"/>
          <w:sz w:val="32"/>
          <w:szCs w:val="32"/>
        </w:rPr>
      </w:pPr>
      <w:bookmarkStart w:id="266" w:name="_Toc121"/>
      <w:bookmarkStart w:id="267" w:name="_Toc734"/>
      <w:r>
        <w:rPr>
          <w:rFonts w:hint="eastAsia" w:ascii="宋体" w:hAnsi="宋体" w:cs="宋体"/>
          <w:b/>
          <w:bCs/>
          <w:kern w:val="0"/>
          <w:sz w:val="32"/>
          <w:szCs w:val="32"/>
        </w:rPr>
        <w:t>项目名称：</w:t>
      </w:r>
      <w:r>
        <w:rPr>
          <w:rFonts w:hint="eastAsia" w:ascii="宋体" w:hAnsi="宋体" w:cs="宋体"/>
          <w:b/>
          <w:bCs/>
          <w:kern w:val="0"/>
          <w:sz w:val="32"/>
          <w:szCs w:val="32"/>
          <w:u w:val="single"/>
          <w:lang w:eastAsia="zh-CN"/>
        </w:rPr>
        <w:t>平顶山市中医医院中医药传承创新大楼（三号病房楼）建设项目全过程造价咨询服务</w:t>
      </w:r>
      <w:r>
        <w:rPr>
          <w:rFonts w:hint="eastAsia" w:ascii="宋体" w:hAnsi="宋体" w:cs="宋体"/>
          <w:b/>
          <w:bCs/>
          <w:kern w:val="0"/>
          <w:sz w:val="32"/>
          <w:szCs w:val="32"/>
          <w:u w:val="single"/>
        </w:rPr>
        <w:t xml:space="preserve">                                  </w:t>
      </w:r>
      <w:r>
        <w:rPr>
          <w:rFonts w:hint="eastAsia" w:ascii="宋体" w:hAnsi="宋体" w:cs="宋体"/>
          <w:b/>
          <w:bCs/>
          <w:kern w:val="0"/>
          <w:sz w:val="32"/>
          <w:szCs w:val="32"/>
        </w:rPr>
        <w:t xml:space="preserve">                                                                           </w:t>
      </w:r>
      <w:bookmarkEnd w:id="266"/>
      <w:bookmarkEnd w:id="267"/>
      <w:r>
        <w:rPr>
          <w:rFonts w:hint="eastAsia" w:ascii="宋体" w:hAnsi="宋体" w:cs="宋体"/>
          <w:b/>
          <w:bCs/>
          <w:kern w:val="0"/>
          <w:sz w:val="32"/>
          <w:szCs w:val="32"/>
        </w:rPr>
        <w:t xml:space="preserve">                                               </w:t>
      </w:r>
    </w:p>
    <w:p>
      <w:pPr>
        <w:widowControl/>
        <w:spacing w:line="360" w:lineRule="auto"/>
        <w:jc w:val="left"/>
        <w:rPr>
          <w:rFonts w:ascii="宋体" w:hAnsi="宋体" w:cs="宋体"/>
          <w:b/>
          <w:bCs/>
          <w:kern w:val="0"/>
          <w:sz w:val="32"/>
          <w:szCs w:val="32"/>
          <w:u w:val="single"/>
        </w:rPr>
      </w:pPr>
      <w:bookmarkStart w:id="268" w:name="_Toc13128"/>
      <w:bookmarkStart w:id="269" w:name="_Toc21946"/>
      <w:r>
        <w:rPr>
          <w:rFonts w:hint="eastAsia" w:ascii="宋体" w:hAnsi="宋体" w:cs="宋体"/>
          <w:b/>
          <w:bCs/>
          <w:kern w:val="0"/>
          <w:sz w:val="32"/>
          <w:szCs w:val="32"/>
        </w:rPr>
        <w:t>委托人：</w:t>
      </w:r>
      <w:bookmarkEnd w:id="268"/>
      <w:bookmarkEnd w:id="269"/>
      <w:r>
        <w:rPr>
          <w:rFonts w:hint="eastAsia" w:ascii="宋体" w:hAnsi="宋体" w:cs="宋体"/>
          <w:b/>
          <w:bCs/>
          <w:kern w:val="0"/>
          <w:sz w:val="32"/>
          <w:szCs w:val="32"/>
          <w:u w:val="single"/>
        </w:rPr>
        <w:t xml:space="preserve">平顶山市中医医院                                  </w:t>
      </w:r>
    </w:p>
    <w:p>
      <w:pPr>
        <w:widowControl/>
        <w:spacing w:line="360" w:lineRule="auto"/>
        <w:jc w:val="left"/>
        <w:rPr>
          <w:rFonts w:ascii="宋体" w:hAnsi="宋体" w:cs="宋体"/>
          <w:b/>
          <w:bCs/>
          <w:kern w:val="0"/>
          <w:sz w:val="32"/>
          <w:szCs w:val="32"/>
        </w:rPr>
      </w:pPr>
      <w:bookmarkStart w:id="270" w:name="_Toc15652"/>
      <w:bookmarkStart w:id="271" w:name="_Toc18795"/>
      <w:r>
        <w:rPr>
          <w:rFonts w:hint="eastAsia" w:ascii="宋体" w:hAnsi="宋体" w:cs="宋体"/>
          <w:b/>
          <w:bCs/>
          <w:kern w:val="0"/>
          <w:sz w:val="32"/>
          <w:szCs w:val="32"/>
        </w:rPr>
        <w:t>咨询人：</w:t>
      </w:r>
      <w:bookmarkEnd w:id="270"/>
      <w:bookmarkEnd w:id="271"/>
      <w:r>
        <w:rPr>
          <w:rFonts w:hint="eastAsia" w:ascii="宋体" w:hAnsi="宋体" w:cs="宋体"/>
          <w:b/>
          <w:bCs/>
          <w:kern w:val="0"/>
          <w:sz w:val="32"/>
          <w:szCs w:val="32"/>
          <w:u w:val="single"/>
        </w:rPr>
        <w:t xml:space="preserve">                                                                  </w:t>
      </w:r>
      <w:r>
        <w:rPr>
          <w:rFonts w:hint="eastAsia" w:ascii="宋体" w:hAnsi="宋体" w:cs="宋体"/>
          <w:b/>
          <w:bCs/>
          <w:kern w:val="0"/>
          <w:sz w:val="32"/>
          <w:szCs w:val="32"/>
        </w:rPr>
        <w:t xml:space="preserve">      </w:t>
      </w:r>
    </w:p>
    <w:p>
      <w:pPr>
        <w:widowControl/>
        <w:spacing w:line="360" w:lineRule="auto"/>
        <w:jc w:val="left"/>
        <w:rPr>
          <w:rFonts w:ascii="宋体" w:hAnsi="宋体" w:cs="宋体"/>
          <w:b/>
          <w:bCs/>
          <w:smallCaps/>
          <w:sz w:val="20"/>
        </w:rPr>
      </w:pPr>
      <w:bookmarkStart w:id="272" w:name="_Toc10387"/>
      <w:bookmarkStart w:id="273" w:name="_Toc7050"/>
      <w:r>
        <w:rPr>
          <w:rFonts w:hint="eastAsia" w:ascii="宋体" w:hAnsi="宋体" w:cs="宋体"/>
          <w:b/>
          <w:bCs/>
          <w:kern w:val="0"/>
          <w:sz w:val="32"/>
          <w:szCs w:val="32"/>
        </w:rPr>
        <w:t>签订时间： 2022年  月   日</w:t>
      </w:r>
      <w:bookmarkEnd w:id="272"/>
      <w:bookmarkEnd w:id="273"/>
      <w:r>
        <w:rPr>
          <w:rFonts w:hint="eastAsia" w:ascii="宋体" w:hAnsi="宋体" w:cs="宋体"/>
          <w:b/>
          <w:bCs/>
          <w:kern w:val="0"/>
          <w:sz w:val="32"/>
          <w:szCs w:val="32"/>
        </w:rPr>
        <w:t xml:space="preserve"> </w:t>
      </w:r>
      <w:r>
        <w:rPr>
          <w:rFonts w:hint="eastAsia" w:ascii="宋体" w:hAnsi="宋体" w:cs="宋体"/>
          <w:kern w:val="0"/>
          <w:sz w:val="32"/>
          <w:szCs w:val="32"/>
        </w:rPr>
        <w:t xml:space="preserve"> </w:t>
      </w:r>
    </w:p>
    <w:p>
      <w:pPr>
        <w:spacing w:before="100" w:beforeAutospacing="1" w:after="100" w:afterAutospacing="1"/>
        <w:rPr>
          <w:rFonts w:ascii="宋体" w:hAnsi="宋体" w:cs="宋体"/>
          <w:b/>
          <w:bCs/>
          <w:smallCaps/>
          <w:sz w:val="20"/>
        </w:rPr>
      </w:pPr>
    </w:p>
    <w:p>
      <w:pPr>
        <w:spacing w:before="100" w:beforeAutospacing="1" w:after="100" w:afterAutospacing="1"/>
        <w:rPr>
          <w:rFonts w:ascii="宋体" w:hAnsi="宋体" w:cs="宋体"/>
          <w:b/>
          <w:bCs/>
          <w:smallCaps/>
          <w:sz w:val="32"/>
          <w:szCs w:val="32"/>
        </w:rPr>
      </w:pPr>
      <w:r>
        <w:rPr>
          <w:rFonts w:ascii="宋体" w:hAnsi="宋体" w:cs="宋体"/>
          <w:b/>
          <w:bCs/>
          <w:smallCaps/>
          <w:sz w:val="32"/>
          <w:szCs w:val="32"/>
        </w:rPr>
        <mc:AlternateContent>
          <mc:Choice Requires="wps">
            <w:drawing>
              <wp:anchor distT="0" distB="0" distL="114300" distR="114300" simplePos="0" relativeHeight="251658240" behindDoc="0" locked="0" layoutInCell="1" allowOverlap="1">
                <wp:simplePos x="0" y="0"/>
                <wp:positionH relativeFrom="column">
                  <wp:posOffset>3761105</wp:posOffset>
                </wp:positionH>
                <wp:positionV relativeFrom="paragraph">
                  <wp:posOffset>107315</wp:posOffset>
                </wp:positionV>
                <wp:extent cx="629920" cy="363855"/>
                <wp:effectExtent l="4445" t="4445" r="13335" b="12700"/>
                <wp:wrapNone/>
                <wp:docPr id="9" name="文本框 9"/>
                <wp:cNvGraphicFramePr/>
                <a:graphic xmlns:a="http://schemas.openxmlformats.org/drawingml/2006/main">
                  <a:graphicData uri="http://schemas.microsoft.com/office/word/2010/wordprocessingShape">
                    <wps:wsp>
                      <wps:cNvSpPr txBox="1"/>
                      <wps:spPr>
                        <a:xfrm>
                          <a:off x="0" y="0"/>
                          <a:ext cx="629920" cy="363855"/>
                        </a:xfrm>
                        <a:prstGeom prst="rect">
                          <a:avLst/>
                        </a:prstGeom>
                        <a:solidFill>
                          <a:srgbClr val="FFFFFF"/>
                        </a:solidFill>
                        <a:ln w="0" cap="flat" cmpd="sng">
                          <a:solidFill>
                            <a:srgbClr val="FFFFFF"/>
                          </a:solidFill>
                          <a:prstDash val="solid"/>
                          <a:miter/>
                          <a:headEnd type="none" w="med" len="med"/>
                          <a:tailEnd type="none" w="med" len="med"/>
                        </a:ln>
                      </wps:spPr>
                      <wps:txbx>
                        <w:txbxContent>
                          <w:p>
                            <w:pPr>
                              <w:widowControl/>
                              <w:jc w:val="left"/>
                              <w:rPr>
                                <w:rFonts w:ascii="宋体" w:hAnsi="宋体" w:cs="宋体"/>
                                <w:b/>
                                <w:kern w:val="0"/>
                                <w:sz w:val="32"/>
                                <w:szCs w:val="32"/>
                              </w:rPr>
                            </w:pPr>
                            <w:r>
                              <w:rPr>
                                <w:rFonts w:hint="eastAsia" w:ascii="宋体" w:hAnsi="宋体" w:cs="宋体"/>
                                <w:b/>
                                <w:kern w:val="0"/>
                                <w:sz w:val="32"/>
                                <w:szCs w:val="32"/>
                              </w:rPr>
                              <w:t>制定</w:t>
                            </w:r>
                          </w:p>
                        </w:txbxContent>
                      </wps:txbx>
                      <wps:bodyPr upright="1"/>
                    </wps:wsp>
                  </a:graphicData>
                </a:graphic>
              </wp:anchor>
            </w:drawing>
          </mc:Choice>
          <mc:Fallback>
            <w:pict>
              <v:shape id="_x0000_s1026" o:spid="_x0000_s1026" o:spt="202" type="#_x0000_t202" style="position:absolute;left:0pt;margin-left:296.15pt;margin-top:8.45pt;height:28.65pt;width:49.6pt;z-index:251658240;mso-width-relative:page;mso-height-relative:page;" fillcolor="#FFFFFF" filled="t" stroked="t" coordsize="21600,21600" o:gfxdata="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Zj7Y&#10;AAAACQEAAA8AAAAAAAAAAQAgAAAAIgAAAGRycy9kb3ducmV2LnhtbFBLAQIUABQAAAAIAIdO4kBm&#10;VGZp5wEAAOQDAAAOAAAAAAAAAAEAIAAAACcBAABkcnMvZTJvRG9jLnhtbFBLBQYAAAAABgAGAFkB&#10;AACABQAAAAA=&#10;">
                <v:fill on="t" focussize="0,0"/>
                <v:stroke weight="0pt" color="#FFFFFF" joinstyle="miter"/>
                <v:imagedata o:title=""/>
                <o:lock v:ext="edit" aspectratio="f"/>
                <v:textbox>
                  <w:txbxContent>
                    <w:p>
                      <w:pPr>
                        <w:widowControl/>
                        <w:jc w:val="left"/>
                        <w:rPr>
                          <w:rFonts w:ascii="宋体" w:hAnsi="宋体" w:cs="宋体"/>
                          <w:b/>
                          <w:kern w:val="0"/>
                          <w:sz w:val="32"/>
                          <w:szCs w:val="32"/>
                        </w:rPr>
                      </w:pPr>
                      <w:r>
                        <w:rPr>
                          <w:rFonts w:hint="eastAsia" w:ascii="宋体" w:hAnsi="宋体" w:cs="宋体"/>
                          <w:b/>
                          <w:kern w:val="0"/>
                          <w:sz w:val="32"/>
                          <w:szCs w:val="32"/>
                        </w:rPr>
                        <w:t>制定</w:t>
                      </w:r>
                    </w:p>
                  </w:txbxContent>
                </v:textbox>
              </v:shape>
            </w:pict>
          </mc:Fallback>
        </mc:AlternateContent>
      </w:r>
      <w:r>
        <w:rPr>
          <w:rFonts w:hint="eastAsia" w:ascii="宋体" w:hAnsi="宋体" w:cs="宋体"/>
          <w:b/>
          <w:bCs/>
          <w:smallCaps/>
          <w:sz w:val="32"/>
          <w:szCs w:val="32"/>
        </w:rPr>
        <w:t xml:space="preserve">            </w:t>
      </w:r>
      <w:r>
        <w:rPr>
          <w:rFonts w:ascii="宋体" w:hAnsi="宋体" w:cs="宋体"/>
          <w:b/>
          <w:bCs/>
          <w:smallCaps/>
          <w:sz w:val="32"/>
          <w:szCs w:val="32"/>
        </w:rPr>
        <w:t xml:space="preserve">   </w:t>
      </w:r>
      <w:r>
        <w:rPr>
          <w:rFonts w:hint="eastAsia" w:ascii="宋体" w:hAnsi="宋体" w:cs="宋体"/>
          <w:b/>
          <w:bCs/>
          <w:smallCaps/>
          <w:sz w:val="32"/>
          <w:szCs w:val="32"/>
        </w:rPr>
        <w:t xml:space="preserve"> </w:t>
      </w:r>
      <w:r>
        <w:rPr>
          <w:rFonts w:ascii="宋体" w:hAnsi="宋体" w:cs="宋体"/>
          <w:b/>
          <w:bCs/>
          <w:smallCaps/>
          <w:sz w:val="32"/>
          <w:szCs w:val="32"/>
        </w:rPr>
        <w:t xml:space="preserve">  </w:t>
      </w:r>
      <w:r>
        <w:rPr>
          <w:rFonts w:hint="eastAsia" w:ascii="宋体" w:hAnsi="宋体" w:cs="宋体"/>
          <w:b/>
          <w:bCs/>
          <w:smallCaps/>
          <w:snapToGrid w:val="0"/>
          <w:spacing w:val="74"/>
          <w:sz w:val="32"/>
          <w:szCs w:val="32"/>
        </w:rPr>
        <w:t>住房和城乡建设部</w:t>
      </w:r>
    </w:p>
    <w:p>
      <w:pPr>
        <w:spacing w:before="100" w:beforeAutospacing="1" w:after="100" w:afterAutospacing="1"/>
        <w:ind w:firstLine="2409" w:firstLineChars="750"/>
        <w:outlineLvl w:val="0"/>
        <w:rPr>
          <w:rFonts w:ascii="宋体" w:hAnsi="宋体" w:cs="宋体"/>
          <w:b/>
          <w:bCs/>
          <w:smallCaps/>
          <w:sz w:val="32"/>
          <w:szCs w:val="32"/>
        </w:rPr>
      </w:pPr>
      <w:bookmarkStart w:id="274" w:name="_Toc1927"/>
      <w:bookmarkStart w:id="275" w:name="_Toc12511"/>
      <w:bookmarkStart w:id="276" w:name="_Toc15281"/>
      <w:r>
        <w:rPr>
          <w:rFonts w:hint="eastAsia" w:ascii="宋体" w:hAnsi="宋体" w:cs="宋体"/>
          <w:b/>
          <w:bCs/>
          <w:smallCaps/>
          <w:sz w:val="32"/>
          <w:szCs w:val="32"/>
        </w:rPr>
        <w:t>国家工商行政管理总局</w:t>
      </w:r>
      <w:bookmarkEnd w:id="274"/>
      <w:bookmarkEnd w:id="275"/>
      <w:bookmarkEnd w:id="276"/>
    </w:p>
    <w:p>
      <w:pPr>
        <w:keepNext/>
        <w:keepLines/>
        <w:spacing w:line="500" w:lineRule="exact"/>
        <w:jc w:val="center"/>
        <w:rPr>
          <w:rFonts w:ascii="宋体" w:hAnsi="宋体"/>
          <w:b/>
          <w:bCs/>
          <w:kern w:val="44"/>
          <w:sz w:val="32"/>
          <w:szCs w:val="32"/>
          <w:lang w:val="zh-CN"/>
        </w:rPr>
      </w:pPr>
      <w:bookmarkStart w:id="277" w:name="_Toc1071"/>
      <w:bookmarkStart w:id="278" w:name="_Toc422322470"/>
      <w:bookmarkStart w:id="279" w:name="_Toc419045055"/>
      <w:r>
        <w:rPr>
          <w:rFonts w:hint="eastAsia" w:ascii="宋体" w:hAnsi="宋体"/>
          <w:b/>
          <w:bCs/>
          <w:kern w:val="44"/>
          <w:sz w:val="32"/>
          <w:szCs w:val="32"/>
          <w:lang w:val="zh-CN"/>
        </w:rPr>
        <w:t>说   明</w:t>
      </w:r>
      <w:bookmarkEnd w:id="277"/>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为了指导建设工程造价咨询合同当事人的签约行为，维护合同当事人的合法权益，依据《中华人民共和国合同法》、《中华人民共和国建筑法》、《中华人民共和国招标投标法》以及相关法律法规，住房和城乡建设部、国家工商行政管理总局对《建设工程造价咨询合同（示范文本）》（GF-2002-0212）进行了修订，制定了《建设工程造价咨询合同（示范文本）》（GF-2015-0212）（以下简称《示范文本》）。为了便于合同当事人使用《示范文本》，现就有关问题说明如下：</w:t>
      </w:r>
    </w:p>
    <w:p>
      <w:pPr>
        <w:widowControl/>
        <w:spacing w:line="4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一、《示范文本》的组成</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《示范文本》由协议书、通用条件和专用条件三部分组成。</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（一）协议书</w:t>
      </w:r>
    </w:p>
    <w:p>
      <w:pPr>
        <w:widowControl/>
        <w:spacing w:line="400" w:lineRule="exact"/>
        <w:ind w:left="147" w:leftChars="70" w:firstLine="360" w:firstLineChars="150"/>
        <w:jc w:val="left"/>
        <w:rPr>
          <w:rFonts w:ascii="宋体" w:hAnsi="宋体" w:cs="宋体"/>
          <w:kern w:val="0"/>
          <w:sz w:val="24"/>
          <w:szCs w:val="24"/>
        </w:rPr>
      </w:pPr>
      <w:r>
        <w:rPr>
          <w:rFonts w:hint="eastAsia" w:ascii="宋体" w:hAnsi="宋体" w:cs="宋体"/>
          <w:kern w:val="0"/>
          <w:sz w:val="24"/>
          <w:szCs w:val="24"/>
        </w:rPr>
        <w:t>《示范文本》协议书集中约定了合同当事人基本的合同权利义务。</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（二）通用条件</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通用条件是合同当事人根据《中华人民共和国合同法》、《中华人民共和国建筑法》等法律法规的规定，就工程造价咨询的实施及相关事项，对合同当事人的权利义务作出的原则性约定。</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通用条件既考虑了现行法律法规对工程发承包计价的有关要求，也考虑了工程造价咨询管理的特殊需要。</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（三）专用条件</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widowControl/>
        <w:spacing w:line="400" w:lineRule="exact"/>
        <w:ind w:right="25" w:rightChars="12" w:firstLine="480" w:firstLineChars="200"/>
        <w:jc w:val="left"/>
        <w:rPr>
          <w:rFonts w:ascii="宋体" w:hAnsi="宋体" w:cs="宋体"/>
          <w:kern w:val="0"/>
          <w:sz w:val="24"/>
          <w:szCs w:val="24"/>
        </w:rPr>
      </w:pPr>
      <w:r>
        <w:rPr>
          <w:rFonts w:hint="eastAsia" w:ascii="宋体" w:hAnsi="宋体" w:cs="宋体"/>
          <w:kern w:val="0"/>
          <w:sz w:val="24"/>
          <w:szCs w:val="24"/>
        </w:rPr>
        <w:t>1.专用条件的编号应与相应的通用条件的编号一致；</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2.合同当事人可以通过对专用条件的修改，满足具体工程的特殊要求，避免直接修改通用条件；</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3.在专用条件中有横道线的地方，合同当事人可针对相应的通用条件进行细化、完善、补充、修改或另行约定；如无细化、完善、补充、修改或另行约定，则填写“无”或划“/”。</w:t>
      </w:r>
    </w:p>
    <w:p>
      <w:pPr>
        <w:widowControl/>
        <w:spacing w:line="400" w:lineRule="exact"/>
        <w:ind w:firstLine="480" w:firstLineChars="200"/>
        <w:jc w:val="left"/>
        <w:rPr>
          <w:rFonts w:ascii="宋体" w:hAnsi="宋体" w:cs="宋体"/>
          <w:b/>
          <w:kern w:val="0"/>
          <w:sz w:val="24"/>
          <w:szCs w:val="24"/>
        </w:rPr>
      </w:pPr>
      <w:r>
        <w:rPr>
          <w:rFonts w:hint="eastAsia" w:ascii="宋体" w:hAnsi="宋体" w:cs="宋体"/>
          <w:bCs/>
          <w:kern w:val="0"/>
          <w:sz w:val="24"/>
          <w:szCs w:val="24"/>
        </w:rPr>
        <w:t>二、《示范文本》的性质和适用范围</w:t>
      </w:r>
    </w:p>
    <w:p>
      <w:pPr>
        <w:widowControl/>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rPr>
          <w:rFonts w:ascii="宋体" w:hAnsi="宋体" w:eastAsia="黑体" w:cs="宋体"/>
          <w:kern w:val="0"/>
          <w:sz w:val="28"/>
        </w:rPr>
      </w:pPr>
      <w:r>
        <w:rPr>
          <w:rFonts w:ascii="宋体" w:hAnsi="宋体" w:eastAsia="黑体" w:cs="宋体"/>
          <w:kern w:val="0"/>
          <w:sz w:val="28"/>
        </w:rPr>
        <w:br w:type="page"/>
      </w:r>
    </w:p>
    <w:p>
      <w:pPr>
        <w:pStyle w:val="24"/>
        <w:widowControl/>
        <w:tabs>
          <w:tab w:val="right" w:leader="dot" w:pos="8306"/>
        </w:tabs>
        <w:spacing w:line="360" w:lineRule="auto"/>
        <w:jc w:val="center"/>
        <w:rPr>
          <w:rFonts w:ascii="宋体" w:hAnsi="宋体" w:eastAsia="黑体" w:cs="宋体"/>
          <w:kern w:val="0"/>
          <w:szCs w:val="21"/>
        </w:rPr>
      </w:pPr>
      <w:r>
        <w:rPr>
          <w:rFonts w:ascii="宋体" w:hAnsi="宋体" w:eastAsia="黑体" w:cs="宋体"/>
          <w:kern w:val="0"/>
          <w:szCs w:val="21"/>
        </w:rPr>
        <w:fldChar w:fldCharType="begin"/>
      </w:r>
      <w:r>
        <w:rPr>
          <w:rFonts w:ascii="宋体" w:hAnsi="宋体" w:eastAsia="黑体" w:cs="宋体"/>
          <w:kern w:val="0"/>
          <w:szCs w:val="21"/>
        </w:rPr>
        <w:instrText xml:space="preserve">TOC \o "1-3" \h \u </w:instrText>
      </w:r>
      <w:r>
        <w:rPr>
          <w:rFonts w:ascii="宋体" w:hAnsi="宋体" w:eastAsia="黑体" w:cs="宋体"/>
          <w:kern w:val="0"/>
          <w:szCs w:val="21"/>
        </w:rPr>
        <w:fldChar w:fldCharType="separate"/>
      </w:r>
      <w:r>
        <w:rPr>
          <w:rFonts w:hint="eastAsia" w:ascii="宋体" w:hAnsi="宋体" w:eastAsia="黑体" w:cs="宋体"/>
          <w:kern w:val="0"/>
          <w:szCs w:val="21"/>
        </w:rPr>
        <w:t>目   录</w:t>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"_Toc31923" </w:instrText>
      </w:r>
      <w:r>
        <w:fldChar w:fldCharType="separate"/>
      </w:r>
      <w:r>
        <w:rPr>
          <w:rFonts w:hint="eastAsia" w:ascii="宋体" w:hAnsi="宋体" w:eastAsia="黑体" w:cs="宋体"/>
          <w:bCs/>
          <w:kern w:val="0"/>
          <w:szCs w:val="21"/>
        </w:rPr>
        <w:t>第一部分  协议书</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_Toc31923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"_Toc4410" </w:instrText>
      </w:r>
      <w:r>
        <w:fldChar w:fldCharType="separate"/>
      </w:r>
      <w:r>
        <w:rPr>
          <w:rFonts w:hint="eastAsia" w:ascii="宋体" w:hAnsi="宋体" w:eastAsia="黑体" w:cs="宋体"/>
          <w:kern w:val="0"/>
          <w:szCs w:val="21"/>
        </w:rPr>
        <w:t>一、工程</w:t>
      </w:r>
      <w:r>
        <w:rPr>
          <w:rFonts w:ascii="宋体" w:hAnsi="宋体" w:eastAsia="黑体" w:cs="宋体"/>
          <w:kern w:val="0"/>
          <w:szCs w:val="21"/>
        </w:rPr>
        <w:t>概况</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_Toc4410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"_Toc22830" </w:instrText>
      </w:r>
      <w:r>
        <w:fldChar w:fldCharType="separate"/>
      </w:r>
      <w:r>
        <w:rPr>
          <w:rFonts w:hint="eastAsia" w:ascii="宋体" w:hAnsi="宋体" w:eastAsia="黑体" w:cs="宋体"/>
          <w:bCs/>
          <w:kern w:val="0"/>
          <w:szCs w:val="21"/>
        </w:rPr>
        <w:t>二、服务范围及工作内容</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_Toc22830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"_Toc2982" </w:instrText>
      </w:r>
      <w:r>
        <w:fldChar w:fldCharType="separate"/>
      </w:r>
      <w:r>
        <w:rPr>
          <w:rFonts w:hint="eastAsia" w:ascii="宋体" w:hAnsi="宋体" w:eastAsia="黑体" w:cs="宋体"/>
          <w:kern w:val="0"/>
          <w:szCs w:val="21"/>
        </w:rPr>
        <w:t>三、服务期限</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_Toc2982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"_Toc17528" </w:instrText>
      </w:r>
      <w:r>
        <w:fldChar w:fldCharType="separate"/>
      </w:r>
      <w:r>
        <w:rPr>
          <w:rFonts w:hint="eastAsia" w:ascii="宋体" w:hAnsi="宋体" w:eastAsia="黑体" w:cs="宋体"/>
          <w:kern w:val="0"/>
          <w:szCs w:val="21"/>
        </w:rPr>
        <w:t>四、质量标准</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_Toc17528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"_Toc7106" </w:instrText>
      </w:r>
      <w:r>
        <w:fldChar w:fldCharType="separate"/>
      </w:r>
      <w:r>
        <w:rPr>
          <w:rFonts w:hint="eastAsia" w:ascii="宋体" w:hAnsi="宋体" w:eastAsia="黑体" w:cs="宋体"/>
          <w:kern w:val="0"/>
          <w:szCs w:val="21"/>
        </w:rPr>
        <w:t>五、酬金或计取方式</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_Toc7106 </w:instrText>
      </w:r>
      <w:r>
        <w:rPr>
          <w:rFonts w:ascii="宋体" w:hAnsi="宋体" w:eastAsia="黑体" w:cs="宋体"/>
          <w:kern w:val="0"/>
          <w:szCs w:val="21"/>
        </w:rPr>
        <w:fldChar w:fldCharType="separate"/>
      </w:r>
      <w:r>
        <w:rPr>
          <w:rFonts w:ascii="宋体" w:hAnsi="宋体" w:eastAsia="黑体" w:cs="宋体"/>
          <w:kern w:val="0"/>
          <w:szCs w:val="21"/>
        </w:rPr>
        <w:t>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"_Toc31053" </w:instrText>
      </w:r>
      <w:r>
        <w:fldChar w:fldCharType="separate"/>
      </w:r>
      <w:r>
        <w:rPr>
          <w:rFonts w:hint="eastAsia" w:ascii="宋体" w:hAnsi="宋体" w:eastAsia="黑体" w:cs="宋体"/>
          <w:kern w:val="0"/>
          <w:szCs w:val="21"/>
        </w:rPr>
        <w:t>六、合同文件的构成</w:t>
      </w:r>
      <w:r>
        <w:rPr>
          <w:rFonts w:ascii="宋体" w:hAnsi="宋体" w:eastAsia="黑体" w:cs="宋体"/>
          <w:kern w:val="0"/>
          <w:szCs w:val="21"/>
        </w:rPr>
        <w:t xml:space="preserve"> </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_Toc31053 </w:instrText>
      </w:r>
      <w:r>
        <w:rPr>
          <w:rFonts w:ascii="宋体" w:hAnsi="宋体" w:eastAsia="黑体" w:cs="宋体"/>
          <w:kern w:val="0"/>
          <w:szCs w:val="21"/>
        </w:rPr>
        <w:fldChar w:fldCharType="separate"/>
      </w:r>
      <w:r>
        <w:rPr>
          <w:rFonts w:ascii="宋体" w:hAnsi="宋体" w:eastAsia="黑体" w:cs="宋体"/>
          <w:kern w:val="0"/>
          <w:szCs w:val="21"/>
        </w:rPr>
        <w:t>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"_Toc3634" </w:instrText>
      </w:r>
      <w:r>
        <w:fldChar w:fldCharType="separate"/>
      </w:r>
      <w:r>
        <w:rPr>
          <w:rFonts w:hint="eastAsia" w:ascii="宋体" w:hAnsi="宋体" w:eastAsia="黑体" w:cs="宋体"/>
          <w:kern w:val="0"/>
          <w:szCs w:val="21"/>
        </w:rPr>
        <w:t>七、词语定义</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_Toc3634 </w:instrText>
      </w:r>
      <w:r>
        <w:rPr>
          <w:rFonts w:ascii="宋体" w:hAnsi="宋体" w:eastAsia="黑体" w:cs="宋体"/>
          <w:kern w:val="0"/>
          <w:szCs w:val="21"/>
        </w:rPr>
        <w:fldChar w:fldCharType="separate"/>
      </w:r>
      <w:r>
        <w:rPr>
          <w:rFonts w:ascii="宋体" w:hAnsi="宋体" w:eastAsia="黑体" w:cs="宋体"/>
          <w:kern w:val="0"/>
          <w:szCs w:val="21"/>
        </w:rPr>
        <w:t>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"_Toc32006" </w:instrText>
      </w:r>
      <w:r>
        <w:fldChar w:fldCharType="separate"/>
      </w:r>
      <w:r>
        <w:rPr>
          <w:rFonts w:hint="eastAsia" w:ascii="宋体" w:hAnsi="宋体" w:eastAsia="黑体" w:cs="宋体"/>
          <w:kern w:val="0"/>
          <w:szCs w:val="21"/>
        </w:rPr>
        <w:t>八、合同订立</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_Toc32006 </w:instrText>
      </w:r>
      <w:r>
        <w:rPr>
          <w:rFonts w:ascii="宋体" w:hAnsi="宋体" w:eastAsia="黑体" w:cs="宋体"/>
          <w:kern w:val="0"/>
          <w:szCs w:val="21"/>
        </w:rPr>
        <w:fldChar w:fldCharType="separate"/>
      </w:r>
      <w:r>
        <w:rPr>
          <w:rFonts w:ascii="宋体" w:hAnsi="宋体" w:eastAsia="黑体" w:cs="宋体"/>
          <w:kern w:val="0"/>
          <w:szCs w:val="21"/>
        </w:rPr>
        <w:t>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"_Toc9070" </w:instrText>
      </w:r>
      <w:r>
        <w:fldChar w:fldCharType="separate"/>
      </w:r>
      <w:r>
        <w:rPr>
          <w:rFonts w:hint="eastAsia" w:ascii="宋体" w:hAnsi="宋体" w:eastAsia="黑体" w:cs="宋体"/>
          <w:kern w:val="0"/>
          <w:szCs w:val="21"/>
        </w:rPr>
        <w:t>九、合同生效</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_Toc9070 </w:instrText>
      </w:r>
      <w:r>
        <w:rPr>
          <w:rFonts w:ascii="宋体" w:hAnsi="宋体" w:eastAsia="黑体" w:cs="宋体"/>
          <w:kern w:val="0"/>
          <w:szCs w:val="21"/>
        </w:rPr>
        <w:fldChar w:fldCharType="separate"/>
      </w:r>
      <w:r>
        <w:rPr>
          <w:rFonts w:ascii="宋体" w:hAnsi="宋体" w:eastAsia="黑体" w:cs="宋体"/>
          <w:kern w:val="0"/>
          <w:szCs w:val="21"/>
        </w:rPr>
        <w:t>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"_Toc14461" </w:instrText>
      </w:r>
      <w:r>
        <w:fldChar w:fldCharType="separate"/>
      </w:r>
      <w:r>
        <w:rPr>
          <w:rFonts w:hint="eastAsia" w:ascii="宋体" w:hAnsi="宋体" w:eastAsia="黑体" w:cs="宋体"/>
          <w:kern w:val="0"/>
          <w:szCs w:val="21"/>
        </w:rPr>
        <w:t>十、合同份数</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_Toc14461 </w:instrText>
      </w:r>
      <w:r>
        <w:rPr>
          <w:rFonts w:ascii="宋体" w:hAnsi="宋体" w:eastAsia="黑体" w:cs="宋体"/>
          <w:kern w:val="0"/>
          <w:szCs w:val="21"/>
        </w:rPr>
        <w:fldChar w:fldCharType="separate"/>
      </w:r>
      <w:r>
        <w:rPr>
          <w:rFonts w:ascii="宋体" w:hAnsi="宋体" w:eastAsia="黑体" w:cs="宋体"/>
          <w:kern w:val="0"/>
          <w:szCs w:val="21"/>
        </w:rPr>
        <w:t>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"_Toc32174" </w:instrText>
      </w:r>
      <w:r>
        <w:fldChar w:fldCharType="separate"/>
      </w:r>
      <w:r>
        <w:rPr>
          <w:rFonts w:hint="eastAsia" w:ascii="宋体" w:hAnsi="宋体" w:eastAsia="黑体" w:cs="宋体"/>
          <w:kern w:val="0"/>
          <w:szCs w:val="21"/>
        </w:rPr>
        <w:t>第二部分　通用条件</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_Toc32174 </w:instrText>
      </w:r>
      <w:r>
        <w:rPr>
          <w:rFonts w:ascii="宋体" w:hAnsi="宋体" w:eastAsia="黑体" w:cs="宋体"/>
          <w:kern w:val="0"/>
          <w:szCs w:val="21"/>
        </w:rPr>
        <w:fldChar w:fldCharType="separate"/>
      </w:r>
      <w:r>
        <w:rPr>
          <w:rFonts w:ascii="宋体" w:hAnsi="宋体" w:eastAsia="黑体" w:cs="宋体"/>
          <w:kern w:val="0"/>
          <w:szCs w:val="21"/>
        </w:rPr>
        <w:t>4</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"_Toc2413" </w:instrText>
      </w:r>
      <w:r>
        <w:fldChar w:fldCharType="separate"/>
      </w:r>
      <w:r>
        <w:rPr>
          <w:rFonts w:hint="eastAsia" w:ascii="宋体" w:hAnsi="宋体" w:eastAsia="黑体" w:cs="宋体"/>
          <w:kern w:val="0"/>
          <w:szCs w:val="21"/>
        </w:rPr>
        <w:t>1.词语定义、语言、解释顺序与适用法律</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_Toc2413 </w:instrText>
      </w:r>
      <w:r>
        <w:rPr>
          <w:rFonts w:ascii="宋体" w:hAnsi="宋体" w:eastAsia="黑体" w:cs="宋体"/>
          <w:kern w:val="0"/>
          <w:szCs w:val="21"/>
        </w:rPr>
        <w:fldChar w:fldCharType="separate"/>
      </w:r>
      <w:r>
        <w:rPr>
          <w:rFonts w:ascii="宋体" w:hAnsi="宋体" w:eastAsia="黑体" w:cs="宋体"/>
          <w:kern w:val="0"/>
          <w:szCs w:val="21"/>
        </w:rPr>
        <w:t>4</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"_Toc26088" </w:instrText>
      </w:r>
      <w:r>
        <w:fldChar w:fldCharType="separate"/>
      </w:r>
      <w:r>
        <w:rPr>
          <w:rFonts w:hint="eastAsia" w:ascii="宋体" w:hAnsi="宋体" w:eastAsia="黑体" w:cs="宋体"/>
          <w:kern w:val="0"/>
          <w:szCs w:val="21"/>
        </w:rPr>
        <w:t>2.委托人</w:t>
      </w:r>
      <w:r>
        <w:rPr>
          <w:rFonts w:ascii="宋体" w:hAnsi="宋体" w:eastAsia="黑体" w:cs="宋体"/>
          <w:kern w:val="0"/>
          <w:szCs w:val="21"/>
        </w:rPr>
        <w:t>的义务</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_Toc26088 </w:instrText>
      </w:r>
      <w:r>
        <w:rPr>
          <w:rFonts w:ascii="宋体" w:hAnsi="宋体" w:eastAsia="黑体" w:cs="宋体"/>
          <w:kern w:val="0"/>
          <w:szCs w:val="21"/>
        </w:rPr>
        <w:fldChar w:fldCharType="separate"/>
      </w:r>
      <w:r>
        <w:rPr>
          <w:rFonts w:ascii="宋体" w:hAnsi="宋体" w:eastAsia="黑体" w:cs="宋体"/>
          <w:kern w:val="0"/>
          <w:szCs w:val="21"/>
        </w:rPr>
        <w:t>5</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"_Toc8029" </w:instrText>
      </w:r>
      <w:r>
        <w:fldChar w:fldCharType="separate"/>
      </w:r>
      <w:r>
        <w:rPr>
          <w:rFonts w:hint="eastAsia" w:ascii="宋体" w:hAnsi="宋体" w:eastAsia="黑体" w:cs="宋体"/>
          <w:kern w:val="0"/>
          <w:szCs w:val="21"/>
        </w:rPr>
        <w:t>3.咨询人的义务</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_Toc8029 </w:instrText>
      </w:r>
      <w:r>
        <w:rPr>
          <w:rFonts w:ascii="宋体" w:hAnsi="宋体" w:eastAsia="黑体" w:cs="宋体"/>
          <w:kern w:val="0"/>
          <w:szCs w:val="21"/>
        </w:rPr>
        <w:fldChar w:fldCharType="separate"/>
      </w:r>
      <w:r>
        <w:rPr>
          <w:rFonts w:ascii="宋体" w:hAnsi="宋体" w:eastAsia="黑体" w:cs="宋体"/>
          <w:kern w:val="0"/>
          <w:szCs w:val="21"/>
        </w:rPr>
        <w:t>6</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"_Toc4497" </w:instrText>
      </w:r>
      <w:r>
        <w:fldChar w:fldCharType="separate"/>
      </w:r>
      <w:r>
        <w:rPr>
          <w:rFonts w:hint="eastAsia" w:ascii="宋体" w:hAnsi="宋体" w:eastAsia="黑体" w:cs="宋体"/>
          <w:kern w:val="0"/>
          <w:szCs w:val="21"/>
        </w:rPr>
        <w:t>第三部分　专用条件</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_Toc4497 </w:instrText>
      </w:r>
      <w:r>
        <w:rPr>
          <w:rFonts w:ascii="宋体" w:hAnsi="宋体" w:eastAsia="黑体" w:cs="宋体"/>
          <w:kern w:val="0"/>
          <w:szCs w:val="21"/>
        </w:rPr>
        <w:fldChar w:fldCharType="separate"/>
      </w:r>
      <w:r>
        <w:rPr>
          <w:rFonts w:ascii="宋体" w:hAnsi="宋体" w:eastAsia="黑体" w:cs="宋体"/>
          <w:kern w:val="0"/>
          <w:szCs w:val="21"/>
        </w:rPr>
        <w:t>12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"_Toc5786" </w:instrText>
      </w:r>
      <w:r>
        <w:fldChar w:fldCharType="separate"/>
      </w:r>
      <w:r>
        <w:rPr>
          <w:rFonts w:hint="eastAsia" w:ascii="宋体" w:hAnsi="宋体" w:eastAsia="黑体" w:cs="宋体"/>
          <w:kern w:val="0"/>
          <w:szCs w:val="21"/>
        </w:rPr>
        <w:t>1.词语定义、语言、解释顺序与适用法律</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_Toc5786 </w:instrText>
      </w:r>
      <w:r>
        <w:rPr>
          <w:rFonts w:ascii="宋体" w:hAnsi="宋体" w:eastAsia="黑体" w:cs="宋体"/>
          <w:kern w:val="0"/>
          <w:szCs w:val="21"/>
        </w:rPr>
        <w:fldChar w:fldCharType="separate"/>
      </w:r>
      <w:r>
        <w:rPr>
          <w:rFonts w:ascii="宋体" w:hAnsi="宋体" w:eastAsia="黑体" w:cs="宋体"/>
          <w:kern w:val="0"/>
          <w:szCs w:val="21"/>
        </w:rPr>
        <w:t>12</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"_Toc3086" </w:instrText>
      </w:r>
      <w:r>
        <w:fldChar w:fldCharType="separate"/>
      </w:r>
      <w:r>
        <w:rPr>
          <w:rFonts w:hint="eastAsia" w:ascii="宋体" w:hAnsi="宋体" w:eastAsia="黑体" w:cs="宋体"/>
          <w:kern w:val="0"/>
          <w:szCs w:val="21"/>
        </w:rPr>
        <w:t>2.委托人的义务</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_Toc3086 </w:instrText>
      </w:r>
      <w:r>
        <w:rPr>
          <w:rFonts w:ascii="宋体" w:hAnsi="宋体" w:eastAsia="黑体" w:cs="宋体"/>
          <w:kern w:val="0"/>
          <w:szCs w:val="21"/>
        </w:rPr>
        <w:fldChar w:fldCharType="separate"/>
      </w:r>
      <w:r>
        <w:rPr>
          <w:rFonts w:ascii="宋体" w:hAnsi="宋体" w:eastAsia="黑体" w:cs="宋体"/>
          <w:kern w:val="0"/>
          <w:szCs w:val="21"/>
        </w:rPr>
        <w:t>13</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"_Toc3928" </w:instrText>
      </w:r>
      <w:r>
        <w:fldChar w:fldCharType="separate"/>
      </w:r>
      <w:r>
        <w:rPr>
          <w:rFonts w:hint="eastAsia" w:ascii="宋体" w:hAnsi="宋体" w:eastAsia="黑体" w:cs="宋体"/>
          <w:kern w:val="0"/>
          <w:szCs w:val="21"/>
        </w:rPr>
        <w:t>3.咨询人的义务</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_Toc3928 </w:instrText>
      </w:r>
      <w:r>
        <w:rPr>
          <w:rFonts w:ascii="宋体" w:hAnsi="宋体" w:eastAsia="黑体" w:cs="宋体"/>
          <w:kern w:val="0"/>
          <w:szCs w:val="21"/>
        </w:rPr>
        <w:fldChar w:fldCharType="separate"/>
      </w:r>
      <w:r>
        <w:rPr>
          <w:rFonts w:ascii="宋体" w:hAnsi="宋体" w:eastAsia="黑体" w:cs="宋体"/>
          <w:kern w:val="0"/>
          <w:szCs w:val="21"/>
        </w:rPr>
        <w:t>14</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"_Toc16882" </w:instrText>
      </w:r>
      <w:r>
        <w:fldChar w:fldCharType="separate"/>
      </w:r>
      <w:r>
        <w:rPr>
          <w:rFonts w:hint="eastAsia" w:ascii="宋体" w:hAnsi="宋体" w:eastAsia="黑体" w:cs="宋体"/>
          <w:kern w:val="0"/>
          <w:szCs w:val="21"/>
        </w:rPr>
        <w:t>4. 违约责任</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_Toc16882 </w:instrText>
      </w:r>
      <w:r>
        <w:rPr>
          <w:rFonts w:ascii="宋体" w:hAnsi="宋体" w:eastAsia="黑体" w:cs="宋体"/>
          <w:kern w:val="0"/>
          <w:szCs w:val="21"/>
        </w:rPr>
        <w:fldChar w:fldCharType="separate"/>
      </w:r>
      <w:r>
        <w:rPr>
          <w:rFonts w:ascii="宋体" w:hAnsi="宋体" w:eastAsia="黑体" w:cs="宋体"/>
          <w:kern w:val="0"/>
          <w:szCs w:val="21"/>
        </w:rPr>
        <w:t>15</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"_Toc18831" </w:instrText>
      </w:r>
      <w:r>
        <w:fldChar w:fldCharType="separate"/>
      </w:r>
      <w:r>
        <w:rPr>
          <w:rFonts w:hint="eastAsia" w:ascii="宋体" w:hAnsi="宋体" w:eastAsia="黑体" w:cs="宋体"/>
          <w:kern w:val="0"/>
          <w:szCs w:val="21"/>
        </w:rPr>
        <w:t>5. 支付</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_Toc18831 </w:instrText>
      </w:r>
      <w:r>
        <w:rPr>
          <w:rFonts w:ascii="宋体" w:hAnsi="宋体" w:eastAsia="黑体" w:cs="宋体"/>
          <w:kern w:val="0"/>
          <w:szCs w:val="21"/>
        </w:rPr>
        <w:fldChar w:fldCharType="separate"/>
      </w:r>
      <w:r>
        <w:rPr>
          <w:rFonts w:ascii="宋体" w:hAnsi="宋体" w:eastAsia="黑体" w:cs="宋体"/>
          <w:kern w:val="0"/>
          <w:szCs w:val="21"/>
        </w:rPr>
        <w:t>15</w:t>
      </w:r>
      <w:r>
        <w:rPr>
          <w:rFonts w:ascii="宋体" w:hAnsi="宋体" w:eastAsia="黑体" w:cs="宋体"/>
          <w:kern w:val="0"/>
          <w:szCs w:val="21"/>
        </w:rPr>
        <w:fldChar w:fldCharType="end"/>
      </w:r>
      <w:r>
        <w:rPr>
          <w:rFonts w:ascii="宋体" w:hAnsi="宋体" w:eastAsia="黑体" w:cs="宋体"/>
          <w:kern w:val="0"/>
          <w:szCs w:val="21"/>
        </w:rPr>
        <w:fldChar w:fldCharType="end"/>
      </w:r>
      <w:r>
        <w:fldChar w:fldCharType="begin"/>
      </w:r>
      <w:r>
        <w:instrText xml:space="preserve"> HYPERLINK \l "_Toc14316" </w:instrText>
      </w:r>
      <w:r>
        <w:fldChar w:fldCharType="separate"/>
      </w:r>
      <w: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"_Toc4422" </w:instrText>
      </w:r>
      <w:r>
        <w:fldChar w:fldCharType="separate"/>
      </w:r>
      <w:r>
        <w:rPr>
          <w:rFonts w:hint="eastAsia" w:ascii="宋体" w:hAnsi="宋体" w:eastAsia="黑体" w:cs="宋体"/>
          <w:kern w:val="0"/>
          <w:szCs w:val="21"/>
        </w:rPr>
        <w:t>6. 合同变更、解除与终止</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_Toc4422 </w:instrText>
      </w:r>
      <w:r>
        <w:rPr>
          <w:rFonts w:ascii="宋体" w:hAnsi="宋体" w:eastAsia="黑体" w:cs="宋体"/>
          <w:kern w:val="0"/>
          <w:szCs w:val="21"/>
        </w:rPr>
        <w:fldChar w:fldCharType="separate"/>
      </w:r>
      <w:r>
        <w:rPr>
          <w:rFonts w:ascii="宋体" w:hAnsi="宋体" w:eastAsia="黑体" w:cs="宋体"/>
          <w:kern w:val="0"/>
          <w:szCs w:val="21"/>
        </w:rPr>
        <w:t>16</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"_Toc10733" </w:instrText>
      </w:r>
      <w:r>
        <w:fldChar w:fldCharType="separate"/>
      </w:r>
      <w:r>
        <w:rPr>
          <w:rFonts w:hint="eastAsia" w:ascii="宋体" w:hAnsi="宋体" w:eastAsia="黑体" w:cs="宋体"/>
          <w:kern w:val="0"/>
          <w:szCs w:val="21"/>
        </w:rPr>
        <w:t>7. 争议解决</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_Toc10733 </w:instrText>
      </w:r>
      <w:r>
        <w:rPr>
          <w:rFonts w:ascii="宋体" w:hAnsi="宋体" w:eastAsia="黑体" w:cs="宋体"/>
          <w:kern w:val="0"/>
          <w:szCs w:val="21"/>
        </w:rPr>
        <w:fldChar w:fldCharType="separate"/>
      </w:r>
      <w:r>
        <w:rPr>
          <w:rFonts w:ascii="宋体" w:hAnsi="宋体" w:eastAsia="黑体" w:cs="宋体"/>
          <w:kern w:val="0"/>
          <w:szCs w:val="21"/>
        </w:rPr>
        <w:t>16</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"_Toc7917" </w:instrText>
      </w:r>
      <w:r>
        <w:fldChar w:fldCharType="separate"/>
      </w:r>
      <w:r>
        <w:rPr>
          <w:rFonts w:hint="eastAsia" w:ascii="宋体" w:hAnsi="宋体" w:eastAsia="黑体" w:cs="宋体"/>
          <w:kern w:val="0"/>
          <w:szCs w:val="21"/>
        </w:rPr>
        <w:t>8. 其他</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_Toc7917 </w:instrText>
      </w:r>
      <w:r>
        <w:rPr>
          <w:rFonts w:ascii="宋体" w:hAnsi="宋体" w:eastAsia="黑体" w:cs="宋体"/>
          <w:kern w:val="0"/>
          <w:szCs w:val="21"/>
        </w:rPr>
        <w:fldChar w:fldCharType="separate"/>
      </w:r>
      <w:r>
        <w:rPr>
          <w:rFonts w:ascii="宋体" w:hAnsi="宋体" w:eastAsia="黑体" w:cs="宋体"/>
          <w:kern w:val="0"/>
          <w:szCs w:val="21"/>
        </w:rPr>
        <w:t>16</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"_Toc9052" </w:instrText>
      </w:r>
      <w:r>
        <w:fldChar w:fldCharType="separate"/>
      </w:r>
      <w:r>
        <w:rPr>
          <w:rFonts w:hint="eastAsia" w:ascii="宋体" w:hAnsi="宋体" w:eastAsia="黑体" w:cs="宋体"/>
          <w:kern w:val="0"/>
          <w:szCs w:val="21"/>
        </w:rPr>
        <w:t>9.补充条款</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_Toc9052 </w:instrText>
      </w:r>
      <w:r>
        <w:rPr>
          <w:rFonts w:ascii="宋体" w:hAnsi="宋体" w:eastAsia="黑体" w:cs="宋体"/>
          <w:kern w:val="0"/>
          <w:szCs w:val="21"/>
        </w:rPr>
        <w:fldChar w:fldCharType="separate"/>
      </w:r>
      <w:r>
        <w:rPr>
          <w:rFonts w:ascii="宋体" w:hAnsi="宋体" w:eastAsia="黑体" w:cs="宋体"/>
          <w:kern w:val="0"/>
          <w:szCs w:val="21"/>
        </w:rPr>
        <w:t>17</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"_Toc3429" </w:instrText>
      </w:r>
      <w:r>
        <w:fldChar w:fldCharType="separate"/>
      </w:r>
      <w:r>
        <w:rPr>
          <w:rFonts w:hint="eastAsia" w:ascii="宋体" w:hAnsi="宋体" w:eastAsia="黑体" w:cs="宋体"/>
          <w:kern w:val="0"/>
          <w:szCs w:val="21"/>
        </w:rPr>
        <w:t>附录A 服务范围及工作内容、酬金一览表</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_Toc3429 </w:instrText>
      </w:r>
      <w:r>
        <w:rPr>
          <w:rFonts w:ascii="宋体" w:hAnsi="宋体" w:eastAsia="黑体" w:cs="宋体"/>
          <w:kern w:val="0"/>
          <w:szCs w:val="21"/>
        </w:rPr>
        <w:fldChar w:fldCharType="separate"/>
      </w:r>
      <w:r>
        <w:rPr>
          <w:rFonts w:ascii="宋体" w:hAnsi="宋体" w:eastAsia="黑体" w:cs="宋体"/>
          <w:kern w:val="0"/>
          <w:szCs w:val="21"/>
        </w:rPr>
        <w:t>18</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"_Toc30730" </w:instrText>
      </w:r>
      <w:r>
        <w:fldChar w:fldCharType="separate"/>
      </w:r>
      <w:r>
        <w:rPr>
          <w:rFonts w:hint="eastAsia" w:ascii="宋体" w:hAnsi="宋体" w:eastAsia="黑体" w:cs="宋体"/>
          <w:kern w:val="0"/>
          <w:szCs w:val="21"/>
        </w:rPr>
        <w:t>附录B 咨询人提交成果文件一览表</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_Toc30730 </w:instrText>
      </w:r>
      <w:r>
        <w:rPr>
          <w:rFonts w:ascii="宋体" w:hAnsi="宋体" w:eastAsia="黑体" w:cs="宋体"/>
          <w:kern w:val="0"/>
          <w:szCs w:val="21"/>
        </w:rPr>
        <w:fldChar w:fldCharType="separate"/>
      </w:r>
      <w:r>
        <w:rPr>
          <w:rFonts w:ascii="宋体" w:hAnsi="宋体" w:eastAsia="黑体" w:cs="宋体"/>
          <w:kern w:val="0"/>
          <w:szCs w:val="21"/>
        </w:rPr>
        <w:t>20</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"_Toc2447" </w:instrText>
      </w:r>
      <w:r>
        <w:fldChar w:fldCharType="separate"/>
      </w:r>
      <w:r>
        <w:rPr>
          <w:rFonts w:ascii="宋体" w:hAnsi="宋体" w:eastAsia="黑体" w:cs="宋体"/>
          <w:kern w:val="0"/>
          <w:szCs w:val="21"/>
        </w:rPr>
        <w:t>附录</w:t>
      </w:r>
      <w:r>
        <w:rPr>
          <w:rFonts w:hint="eastAsia" w:ascii="宋体" w:hAnsi="宋体" w:eastAsia="黑体" w:cs="宋体"/>
          <w:kern w:val="0"/>
          <w:szCs w:val="21"/>
        </w:rPr>
        <w:t>C</w:t>
      </w:r>
      <w:r>
        <w:rPr>
          <w:rFonts w:ascii="宋体" w:hAnsi="宋体" w:eastAsia="黑体" w:cs="宋体"/>
          <w:kern w:val="0"/>
          <w:szCs w:val="21"/>
        </w:rPr>
        <w:t>　委托人提供</w:t>
      </w:r>
      <w:r>
        <w:rPr>
          <w:rFonts w:hint="eastAsia" w:ascii="宋体" w:hAnsi="宋体" w:eastAsia="黑体" w:cs="宋体"/>
          <w:kern w:val="0"/>
          <w:szCs w:val="21"/>
        </w:rPr>
        <w:t>资料一览表</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_Toc2447 </w:instrText>
      </w:r>
      <w:r>
        <w:rPr>
          <w:rFonts w:ascii="宋体" w:hAnsi="宋体" w:eastAsia="黑体" w:cs="宋体"/>
          <w:kern w:val="0"/>
          <w:szCs w:val="21"/>
        </w:rPr>
        <w:fldChar w:fldCharType="separate"/>
      </w:r>
      <w:r>
        <w:rPr>
          <w:rFonts w:ascii="宋体" w:hAnsi="宋体" w:eastAsia="黑体" w:cs="宋体"/>
          <w:kern w:val="0"/>
          <w:szCs w:val="21"/>
        </w:rPr>
        <w:t>21</w:t>
      </w:r>
      <w:r>
        <w:rPr>
          <w:rFonts w:ascii="宋体" w:hAnsi="宋体" w:eastAsia="黑体" w:cs="宋体"/>
          <w:kern w:val="0"/>
          <w:szCs w:val="21"/>
        </w:rPr>
        <w:fldChar w:fldCharType="end"/>
      </w:r>
      <w:r>
        <w:rPr>
          <w:rFonts w:ascii="宋体" w:hAnsi="宋体" w:eastAsia="黑体" w:cs="宋体"/>
          <w:kern w:val="0"/>
          <w:szCs w:val="21"/>
        </w:rPr>
        <w:fldChar w:fldCharType="end"/>
      </w:r>
    </w:p>
    <w:p>
      <w:pPr>
        <w:pStyle w:val="24"/>
        <w:widowControl/>
        <w:tabs>
          <w:tab w:val="right" w:leader="dot" w:pos="8306"/>
        </w:tabs>
        <w:spacing w:line="360" w:lineRule="auto"/>
        <w:jc w:val="left"/>
        <w:rPr>
          <w:rFonts w:ascii="宋体" w:hAnsi="宋体" w:eastAsia="黑体" w:cs="宋体"/>
          <w:kern w:val="0"/>
          <w:szCs w:val="21"/>
        </w:rPr>
      </w:pPr>
      <w:r>
        <w:fldChar w:fldCharType="begin"/>
      </w:r>
      <w:r>
        <w:instrText xml:space="preserve"> HYPERLINK \l "_Toc15767" </w:instrText>
      </w:r>
      <w:r>
        <w:fldChar w:fldCharType="separate"/>
      </w:r>
      <w:r>
        <w:rPr>
          <w:rFonts w:hint="eastAsia" w:ascii="宋体" w:hAnsi="宋体" w:eastAsia="黑体" w:cs="宋体"/>
          <w:kern w:val="0"/>
          <w:szCs w:val="21"/>
        </w:rPr>
        <w:t xml:space="preserve">附录D </w:t>
      </w:r>
      <w:r>
        <w:rPr>
          <w:rFonts w:ascii="宋体" w:hAnsi="宋体" w:eastAsia="黑体" w:cs="宋体"/>
          <w:kern w:val="0"/>
          <w:szCs w:val="21"/>
        </w:rPr>
        <w:t>委托人提供房屋</w:t>
      </w:r>
      <w:r>
        <w:rPr>
          <w:rFonts w:hint="eastAsia" w:ascii="宋体" w:hAnsi="宋体" w:eastAsia="黑体" w:cs="宋体"/>
          <w:kern w:val="0"/>
          <w:szCs w:val="21"/>
        </w:rPr>
        <w:t>及设备一览表</w:t>
      </w:r>
      <w:r>
        <w:rPr>
          <w:rFonts w:ascii="宋体" w:hAnsi="宋体" w:eastAsia="黑体" w:cs="宋体"/>
          <w:kern w:val="0"/>
          <w:szCs w:val="21"/>
        </w:rPr>
        <w:tab/>
      </w:r>
      <w:r>
        <w:rPr>
          <w:rFonts w:ascii="宋体" w:hAnsi="宋体" w:eastAsia="黑体" w:cs="宋体"/>
          <w:kern w:val="0"/>
          <w:szCs w:val="21"/>
        </w:rPr>
        <w:fldChar w:fldCharType="begin"/>
      </w:r>
      <w:r>
        <w:rPr>
          <w:rFonts w:ascii="宋体" w:hAnsi="宋体" w:eastAsia="黑体" w:cs="宋体"/>
          <w:kern w:val="0"/>
          <w:szCs w:val="21"/>
        </w:rPr>
        <w:instrText xml:space="preserve"> PAGEREF _Toc15767 </w:instrText>
      </w:r>
      <w:r>
        <w:rPr>
          <w:rFonts w:ascii="宋体" w:hAnsi="宋体" w:eastAsia="黑体" w:cs="宋体"/>
          <w:kern w:val="0"/>
          <w:szCs w:val="21"/>
        </w:rPr>
        <w:fldChar w:fldCharType="separate"/>
      </w:r>
      <w:r>
        <w:rPr>
          <w:rFonts w:ascii="宋体" w:hAnsi="宋体" w:eastAsia="黑体" w:cs="宋体"/>
          <w:kern w:val="0"/>
          <w:szCs w:val="21"/>
        </w:rPr>
        <w:t>22</w:t>
      </w:r>
      <w:r>
        <w:rPr>
          <w:rFonts w:ascii="宋体" w:hAnsi="宋体" w:eastAsia="黑体" w:cs="宋体"/>
          <w:kern w:val="0"/>
          <w:szCs w:val="21"/>
        </w:rPr>
        <w:fldChar w:fldCharType="end"/>
      </w:r>
      <w:r>
        <w:rPr>
          <w:rFonts w:ascii="宋体" w:hAnsi="宋体" w:eastAsia="黑体" w:cs="宋体"/>
          <w:kern w:val="0"/>
          <w:szCs w:val="21"/>
        </w:rPr>
        <w:fldChar w:fldCharType="end"/>
      </w:r>
    </w:p>
    <w:p>
      <w:pPr>
        <w:widowControl/>
        <w:spacing w:line="360" w:lineRule="auto"/>
        <w:jc w:val="center"/>
        <w:rPr>
          <w:rFonts w:ascii="Cambria" w:hAnsi="Cambria"/>
          <w:b/>
          <w:bCs/>
          <w:sz w:val="24"/>
          <w:szCs w:val="24"/>
        </w:rPr>
      </w:pPr>
      <w:r>
        <w:rPr>
          <w:rFonts w:ascii="宋体" w:hAnsi="宋体" w:cs="宋体"/>
          <w:kern w:val="0"/>
          <w:szCs w:val="21"/>
        </w:rPr>
        <w:fldChar w:fldCharType="end"/>
      </w:r>
      <w:bookmarkEnd w:id="278"/>
      <w:bookmarkEnd w:id="279"/>
      <w:bookmarkStart w:id="280" w:name="_Toc31923"/>
      <w:bookmarkStart w:id="281" w:name="_Toc18522"/>
      <w:bookmarkStart w:id="282" w:name="7"/>
      <w:r>
        <w:rPr>
          <w:rFonts w:hint="eastAsia" w:ascii="Cambria" w:hAnsi="Cambria"/>
          <w:b/>
          <w:bCs/>
          <w:sz w:val="24"/>
          <w:szCs w:val="24"/>
        </w:rPr>
        <w:t>第一部分  协议书</w:t>
      </w:r>
      <w:bookmarkEnd w:id="280"/>
      <w:bookmarkEnd w:id="281"/>
    </w:p>
    <w:p>
      <w:pPr>
        <w:spacing w:line="360" w:lineRule="auto"/>
        <w:ind w:left="420" w:leftChars="200"/>
        <w:jc w:val="left"/>
        <w:rPr>
          <w:rFonts w:ascii="宋体" w:hAnsi="宋体"/>
          <w:sz w:val="24"/>
          <w:szCs w:val="24"/>
        </w:rPr>
      </w:pPr>
      <w:r>
        <w:rPr>
          <w:rFonts w:hint="eastAsia" w:ascii="宋体" w:hAnsi="宋体"/>
          <w:sz w:val="24"/>
          <w:szCs w:val="24"/>
        </w:rPr>
        <w:t>委托人（全称）：</w:t>
      </w:r>
      <w:r>
        <w:rPr>
          <w:rFonts w:hint="eastAsia" w:ascii="宋体" w:hAnsi="宋体"/>
          <w:sz w:val="24"/>
          <w:szCs w:val="24"/>
          <w:u w:val="single"/>
        </w:rPr>
        <w:t xml:space="preserve">平顶山市中医医院 </w:t>
      </w:r>
    </w:p>
    <w:p>
      <w:pPr>
        <w:spacing w:line="360" w:lineRule="auto"/>
        <w:ind w:left="420" w:leftChars="200"/>
        <w:jc w:val="left"/>
        <w:rPr>
          <w:rFonts w:ascii="宋体" w:hAnsi="宋体"/>
          <w:sz w:val="24"/>
          <w:szCs w:val="24"/>
          <w:u w:val="single"/>
        </w:rPr>
      </w:pPr>
      <w:r>
        <w:rPr>
          <w:rFonts w:hint="eastAsia" w:ascii="宋体" w:hAnsi="宋体"/>
          <w:sz w:val="24"/>
          <w:szCs w:val="24"/>
        </w:rPr>
        <w:t>咨询人（全称）：</w:t>
      </w:r>
      <w:r>
        <w:rPr>
          <w:rFonts w:hint="eastAsia" w:ascii="宋体" w:hAnsi="宋体"/>
          <w:sz w:val="24"/>
          <w:szCs w:val="24"/>
          <w:u w:val="single"/>
        </w:rPr>
        <w:t xml:space="preserve">                                  </w:t>
      </w:r>
    </w:p>
    <w:p>
      <w:pPr>
        <w:spacing w:line="360" w:lineRule="auto"/>
        <w:ind w:firstLine="480" w:firstLineChars="200"/>
        <w:jc w:val="left"/>
        <w:rPr>
          <w:rFonts w:ascii="宋体" w:hAnsi="宋体"/>
          <w:sz w:val="24"/>
          <w:szCs w:val="24"/>
        </w:rPr>
      </w:pPr>
      <w:r>
        <w:rPr>
          <w:rFonts w:hint="eastAsia" w:ascii="宋体" w:hAnsi="宋体"/>
          <w:sz w:val="24"/>
          <w:szCs w:val="24"/>
        </w:rPr>
        <w:t xml:space="preserve">根据《中华人民共和国民典法》及其他有关法律、法规，遵循平等、自愿、公平和诚实信用的原则，双方就下述建设工程委托造价咨询与其他服务事项协商一致，订立本合同。    </w:t>
      </w:r>
    </w:p>
    <w:p>
      <w:pPr>
        <w:widowControl/>
        <w:numPr>
          <w:ilvl w:val="0"/>
          <w:numId w:val="4"/>
        </w:numPr>
        <w:spacing w:line="360" w:lineRule="auto"/>
        <w:ind w:firstLine="482" w:firstLineChars="200"/>
        <w:jc w:val="left"/>
        <w:rPr>
          <w:rFonts w:ascii="宋体" w:hAnsi="宋体" w:cs="宋体"/>
          <w:kern w:val="0"/>
          <w:sz w:val="24"/>
        </w:rPr>
      </w:pPr>
      <w:bookmarkStart w:id="283" w:name="_Toc4410"/>
      <w:bookmarkStart w:id="284" w:name="_Toc422322471"/>
      <w:bookmarkStart w:id="285" w:name="_Toc419045056"/>
      <w:r>
        <w:rPr>
          <w:rFonts w:hint="eastAsia" w:ascii="Cambria" w:hAnsi="Cambria"/>
          <w:b/>
          <w:bCs/>
          <w:kern w:val="0"/>
          <w:sz w:val="24"/>
          <w:szCs w:val="24"/>
        </w:rPr>
        <w:t>工程</w:t>
      </w:r>
      <w:r>
        <w:rPr>
          <w:rFonts w:ascii="Cambria" w:hAnsi="Cambria"/>
          <w:b/>
          <w:bCs/>
          <w:kern w:val="0"/>
          <w:sz w:val="24"/>
          <w:szCs w:val="24"/>
        </w:rPr>
        <w:t>概况</w:t>
      </w:r>
      <w:bookmarkEnd w:id="283"/>
      <w:bookmarkEnd w:id="284"/>
      <w:r>
        <w:rPr>
          <w:rFonts w:hint="eastAsia" w:ascii="宋体" w:hAnsi="宋体" w:cs="宋体"/>
          <w:kern w:val="0"/>
          <w:sz w:val="24"/>
        </w:rPr>
        <w:br w:type="textWrapping"/>
      </w:r>
      <w:r>
        <w:rPr>
          <w:rFonts w:hint="eastAsia" w:ascii="宋体" w:hAnsi="宋体" w:cs="宋体"/>
          <w:kern w:val="0"/>
          <w:sz w:val="24"/>
        </w:rPr>
        <w:t xml:space="preserve">    1.工程名称：</w:t>
      </w:r>
      <w:r>
        <w:rPr>
          <w:rFonts w:hint="eastAsia" w:ascii="宋体" w:hAnsi="宋体" w:cs="宋体"/>
          <w:kern w:val="0"/>
          <w:sz w:val="24"/>
          <w:u w:val="single"/>
          <w:lang w:eastAsia="zh-CN"/>
        </w:rPr>
        <w:t>平顶山市中医医院中医药传承创新大楼（三号病房楼）建设项目全过程造价咨询服务</w:t>
      </w:r>
      <w:r>
        <w:rPr>
          <w:rFonts w:hint="eastAsia" w:ascii="宋体" w:hAnsi="宋体" w:cs="宋体"/>
          <w:kern w:val="0"/>
          <w:sz w:val="24"/>
          <w:u w:val="single"/>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2.工程地点：</w:t>
      </w:r>
      <w:bookmarkEnd w:id="285"/>
      <w:r>
        <w:rPr>
          <w:rFonts w:hint="eastAsia" w:ascii="宋体" w:hAnsi="宋体" w:cs="宋体"/>
          <w:kern w:val="0"/>
          <w:sz w:val="24"/>
          <w:u w:val="single"/>
        </w:rPr>
        <w:t>平顶山市城乡一体化示范区，南临滍阳路，北临复兴路，西临翠竹路，市中医医院新城区分院院内</w:t>
      </w:r>
      <w:r>
        <w:rPr>
          <w:rFonts w:hint="eastAsia" w:ascii="宋体" w:hAnsi="宋体" w:cs="宋体"/>
          <w:kern w:val="0"/>
          <w:sz w:val="24"/>
        </w:rPr>
        <w:t>。</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3.工程规模：</w:t>
      </w:r>
      <w:r>
        <w:rPr>
          <w:rFonts w:hint="eastAsia" w:ascii="宋体" w:hAnsi="宋体" w:cs="宋体"/>
          <w:kern w:val="0"/>
          <w:sz w:val="24"/>
          <w:u w:val="single"/>
        </w:rPr>
        <w:t xml:space="preserve">  建筑面积约 31020.20平方米                                       </w:t>
      </w:r>
    </w:p>
    <w:bookmarkEnd w:id="282"/>
    <w:p>
      <w:pPr>
        <w:spacing w:line="360" w:lineRule="auto"/>
        <w:ind w:firstLine="482" w:firstLineChars="200"/>
        <w:jc w:val="left"/>
        <w:outlineLvl w:val="0"/>
        <w:rPr>
          <w:rFonts w:ascii="Cambria" w:hAnsi="Cambria" w:cs="宋体"/>
          <w:b/>
          <w:bCs/>
          <w:sz w:val="24"/>
          <w:szCs w:val="24"/>
        </w:rPr>
      </w:pPr>
      <w:bookmarkStart w:id="286" w:name="_Toc19329"/>
      <w:bookmarkStart w:id="287" w:name="_Toc22830"/>
      <w:bookmarkStart w:id="288" w:name="_Toc419045059"/>
      <w:bookmarkStart w:id="289" w:name="_Toc422322472"/>
      <w:r>
        <w:rPr>
          <w:rFonts w:hint="eastAsia" w:ascii="Cambria" w:hAnsi="Cambria" w:cs="宋体"/>
          <w:b/>
          <w:bCs/>
          <w:sz w:val="24"/>
          <w:szCs w:val="24"/>
        </w:rPr>
        <w:t>二、服务范围及工作内容</w:t>
      </w:r>
      <w:bookmarkEnd w:id="286"/>
      <w:bookmarkEnd w:id="287"/>
      <w:bookmarkEnd w:id="288"/>
      <w:bookmarkEnd w:id="289"/>
    </w:p>
    <w:p>
      <w:pPr>
        <w:widowControl/>
        <w:autoSpaceDE w:val="0"/>
        <w:autoSpaceDN w:val="0"/>
        <w:adjustRightInd w:val="0"/>
        <w:spacing w:line="500" w:lineRule="exact"/>
        <w:ind w:firstLine="480" w:firstLineChars="200"/>
        <w:jc w:val="left"/>
        <w:rPr>
          <w:rFonts w:ascii="宋体" w:hAnsi="宋体" w:cs="宋体"/>
          <w:color w:val="FF0000"/>
          <w:kern w:val="0"/>
          <w:sz w:val="24"/>
        </w:rPr>
      </w:pPr>
      <w:r>
        <w:rPr>
          <w:rFonts w:hint="eastAsia" w:ascii="宋体" w:hAnsi="宋体" w:cs="宋体"/>
          <w:kern w:val="0"/>
          <w:sz w:val="24"/>
        </w:rPr>
        <w:t>双方约定的服务范围及工作内容：</w:t>
      </w:r>
      <w:r>
        <w:rPr>
          <w:rFonts w:hint="eastAsia" w:ascii="宋体" w:hAnsi="宋体" w:cs="宋体"/>
          <w:kern w:val="0"/>
          <w:sz w:val="24"/>
          <w:szCs w:val="22"/>
        </w:rPr>
        <w:t xml:space="preserve">1、配合项目概算审批工作；2、根据施工图，编制工程量清单及控制价，上报市财政局主管科室，同时做好施工图技术经济分析（计算和分析整个建设项目、各单项工程和单位工程的技术经济指标)；3、编制项目资金使用计划；4、施工阶段造价风险分析及建议；5、审核工程预付款和进度款；6、工程变更、签证及索赔管理（工程变更需注意工程内容有增有减：签证内容与实际施工内容的符合性)；7、协助委托人主要设备和材料的认价工作；8、工程造价动态分析；9、汇总分阶段工程结算；10、审核工程竣工结算；11、协助建设单位整理项目竣工资料，并配合审计工作。 </w:t>
      </w:r>
      <w:r>
        <w:rPr>
          <w:rFonts w:hint="eastAsia" w:ascii="宋体" w:hAnsi="宋体" w:cs="宋体"/>
          <w:color w:val="FF0000"/>
          <w:kern w:val="0"/>
          <w:sz w:val="24"/>
        </w:rPr>
        <w:t xml:space="preserve">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服务范围及工作内容详见附录A。</w:t>
      </w:r>
    </w:p>
    <w:p>
      <w:pPr>
        <w:spacing w:line="360" w:lineRule="auto"/>
        <w:ind w:firstLine="482" w:firstLineChars="200"/>
        <w:jc w:val="left"/>
        <w:outlineLvl w:val="0"/>
        <w:rPr>
          <w:rFonts w:ascii="Cambria" w:hAnsi="Cambria"/>
          <w:b/>
          <w:bCs/>
          <w:sz w:val="24"/>
          <w:szCs w:val="24"/>
        </w:rPr>
      </w:pPr>
      <w:bookmarkStart w:id="290" w:name="_Toc422322473"/>
      <w:bookmarkStart w:id="291" w:name="_Toc419045060"/>
      <w:bookmarkStart w:id="292" w:name="_Toc2982"/>
      <w:bookmarkStart w:id="293" w:name="_Toc13745"/>
      <w:bookmarkStart w:id="294" w:name="9"/>
      <w:r>
        <w:rPr>
          <w:rFonts w:hint="eastAsia" w:ascii="Cambria" w:hAnsi="Cambria"/>
          <w:b/>
          <w:bCs/>
          <w:sz w:val="24"/>
          <w:szCs w:val="24"/>
        </w:rPr>
        <w:t>三、服务期限</w:t>
      </w:r>
      <w:bookmarkEnd w:id="290"/>
      <w:bookmarkEnd w:id="291"/>
      <w:bookmarkEnd w:id="292"/>
      <w:bookmarkEnd w:id="293"/>
    </w:p>
    <w:p>
      <w:pPr>
        <w:snapToGrid w:val="0"/>
        <w:spacing w:line="360" w:lineRule="auto"/>
        <w:ind w:firstLine="360" w:firstLineChars="150"/>
        <w:jc w:val="left"/>
        <w:rPr>
          <w:rFonts w:ascii="宋体" w:hAnsi="宋体"/>
          <w:sz w:val="24"/>
          <w:szCs w:val="24"/>
        </w:rPr>
      </w:pPr>
      <w:r>
        <w:rPr>
          <w:rFonts w:ascii="宋体" w:hAnsi="宋体"/>
          <w:sz w:val="24"/>
          <w:szCs w:val="24"/>
        </w:rPr>
        <w:t>本合同</w:t>
      </w:r>
      <w:r>
        <w:rPr>
          <w:rFonts w:hint="eastAsia" w:ascii="宋体" w:hAnsi="宋体"/>
          <w:sz w:val="24"/>
          <w:szCs w:val="24"/>
        </w:rPr>
        <w:t>约定</w:t>
      </w:r>
      <w:r>
        <w:rPr>
          <w:rFonts w:ascii="宋体" w:hAnsi="宋体"/>
          <w:sz w:val="24"/>
          <w:szCs w:val="24"/>
        </w:rPr>
        <w:t>的建设工程造价咨询</w:t>
      </w:r>
      <w:r>
        <w:rPr>
          <w:rFonts w:hint="eastAsia" w:ascii="宋体" w:hAnsi="宋体"/>
          <w:sz w:val="24"/>
          <w:szCs w:val="24"/>
        </w:rPr>
        <w:t>服务期限：</w:t>
      </w:r>
      <w:r>
        <w:rPr>
          <w:rFonts w:hint="eastAsia" w:ascii="宋体" w:hAnsi="宋体" w:cs="宋体"/>
          <w:sz w:val="24"/>
          <w:szCs w:val="24"/>
          <w:u w:val="single"/>
        </w:rPr>
        <w:t>自合同签订之日起至</w:t>
      </w:r>
      <w:r>
        <w:rPr>
          <w:rFonts w:hint="eastAsia"/>
          <w:szCs w:val="21"/>
          <w:u w:val="single"/>
        </w:rPr>
        <w:t>缺陷责任期</w:t>
      </w:r>
      <w:r>
        <w:rPr>
          <w:rFonts w:hint="eastAsia" w:ascii="宋体" w:hAnsi="宋体" w:cs="宋体"/>
          <w:sz w:val="24"/>
          <w:szCs w:val="24"/>
          <w:u w:val="single"/>
        </w:rPr>
        <w:t>完成之日止</w:t>
      </w:r>
      <w:r>
        <w:rPr>
          <w:rFonts w:ascii="宋体" w:hAnsi="宋体"/>
          <w:sz w:val="24"/>
          <w:szCs w:val="24"/>
        </w:rPr>
        <w:t>。</w:t>
      </w:r>
    </w:p>
    <w:p>
      <w:pPr>
        <w:spacing w:line="360" w:lineRule="auto"/>
        <w:ind w:firstLine="482" w:firstLineChars="200"/>
        <w:jc w:val="left"/>
        <w:outlineLvl w:val="0"/>
        <w:rPr>
          <w:rFonts w:ascii="Cambria" w:hAnsi="Cambria"/>
          <w:b/>
          <w:bCs/>
          <w:sz w:val="24"/>
          <w:szCs w:val="24"/>
        </w:rPr>
      </w:pPr>
      <w:bookmarkStart w:id="295" w:name="_Toc419045061"/>
      <w:bookmarkStart w:id="296" w:name="_Toc17528"/>
      <w:bookmarkStart w:id="297" w:name="_Toc422322474"/>
      <w:bookmarkStart w:id="298" w:name="_Toc27367"/>
      <w:r>
        <w:rPr>
          <w:rFonts w:hint="eastAsia" w:ascii="Cambria" w:hAnsi="Cambria"/>
          <w:b/>
          <w:bCs/>
          <w:sz w:val="24"/>
          <w:szCs w:val="24"/>
        </w:rPr>
        <w:t>四、质量标准</w:t>
      </w:r>
      <w:bookmarkEnd w:id="295"/>
      <w:bookmarkEnd w:id="296"/>
      <w:bookmarkEnd w:id="297"/>
      <w:bookmarkEnd w:id="298"/>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工程造价咨询成果文件应符合：</w:t>
      </w:r>
    </w:p>
    <w:p>
      <w:pPr>
        <w:widowControl/>
        <w:spacing w:line="360" w:lineRule="auto"/>
        <w:ind w:firstLine="480" w:firstLineChars="200"/>
        <w:jc w:val="left"/>
        <w:rPr>
          <w:rFonts w:ascii="宋体" w:hAnsi="宋体"/>
          <w:kern w:val="0"/>
          <w:sz w:val="24"/>
        </w:rPr>
      </w:pPr>
      <w:r>
        <w:rPr>
          <w:rFonts w:hint="eastAsia" w:ascii="宋体" w:hAnsi="宋体" w:cs="宋体"/>
          <w:kern w:val="0"/>
          <w:sz w:val="24"/>
          <w:u w:val="single"/>
        </w:rPr>
        <w:t>国家、省、市有关规定，使项目进度、安全、成本有序可控，满足采购人要求；</w:t>
      </w:r>
      <w:r>
        <w:rPr>
          <w:rFonts w:hint="eastAsia" w:ascii="宋体" w:hAnsi="宋体"/>
          <w:kern w:val="0"/>
          <w:sz w:val="24"/>
        </w:rPr>
        <w:t>_</w:t>
      </w:r>
      <w:r>
        <w:rPr>
          <w:rFonts w:hint="eastAsia" w:ascii="宋体" w:hAnsi="宋体" w:cs="宋体"/>
          <w:kern w:val="0"/>
          <w:sz w:val="24"/>
          <w:u w:val="single"/>
        </w:rPr>
        <w:t>包括但不限于</w:t>
      </w:r>
      <w:r>
        <w:rPr>
          <w:rFonts w:ascii="宋体" w:hAnsi="宋体" w:cs="宋体"/>
          <w:kern w:val="0"/>
          <w:sz w:val="24"/>
          <w:u w:val="single"/>
        </w:rPr>
        <w:t>《建设工程造价咨询成果文件质量标准》</w:t>
      </w:r>
      <w:r>
        <w:rPr>
          <w:rFonts w:hint="eastAsia" w:ascii="宋体" w:hAnsi="宋体" w:cs="宋体"/>
          <w:kern w:val="0"/>
          <w:sz w:val="24"/>
          <w:u w:val="single"/>
        </w:rPr>
        <w:t>（CECA/GC 7-2012）、《建设工程造价咨询档案立卷标准》DBJ41/T153-2016等行业标准</w:t>
      </w:r>
      <w:r>
        <w:rPr>
          <w:rFonts w:hint="eastAsia" w:ascii="宋体" w:hAnsi="宋体"/>
          <w:kern w:val="0"/>
          <w:sz w:val="24"/>
        </w:rPr>
        <w:t>。</w:t>
      </w:r>
    </w:p>
    <w:p>
      <w:pPr>
        <w:widowControl/>
        <w:spacing w:line="360" w:lineRule="auto"/>
        <w:ind w:firstLine="480" w:firstLineChars="200"/>
        <w:jc w:val="left"/>
        <w:rPr>
          <w:rFonts w:ascii="宋体" w:hAnsi="宋体" w:cs="宋体"/>
          <w:color w:val="FF0000"/>
          <w:kern w:val="0"/>
          <w:sz w:val="24"/>
        </w:rPr>
      </w:pPr>
      <w:r>
        <w:rPr>
          <w:rFonts w:hint="eastAsia" w:ascii="宋体" w:hAnsi="宋体" w:cs="宋体"/>
          <w:kern w:val="0"/>
          <w:sz w:val="24"/>
          <w:u w:val="single"/>
        </w:rPr>
        <w:t xml:space="preserve">上述标准、规范等以国家及地方最新颁布的版本为准 </w:t>
      </w:r>
      <w:r>
        <w:rPr>
          <w:rFonts w:hint="eastAsia" w:ascii="宋体" w:hAnsi="宋体" w:cs="宋体"/>
          <w:kern w:val="0"/>
          <w:sz w:val="24"/>
        </w:rPr>
        <w:t>。</w:t>
      </w:r>
    </w:p>
    <w:p>
      <w:pPr>
        <w:spacing w:line="360" w:lineRule="auto"/>
        <w:ind w:firstLine="482" w:firstLineChars="200"/>
        <w:jc w:val="left"/>
        <w:outlineLvl w:val="0"/>
        <w:rPr>
          <w:rFonts w:ascii="Cambria" w:hAnsi="Cambria"/>
          <w:b/>
          <w:bCs/>
          <w:sz w:val="24"/>
          <w:szCs w:val="24"/>
        </w:rPr>
      </w:pPr>
      <w:bookmarkStart w:id="299" w:name="_Toc17383"/>
      <w:bookmarkStart w:id="300" w:name="_Toc422322475"/>
      <w:bookmarkStart w:id="301" w:name="_Toc419045062"/>
      <w:bookmarkStart w:id="302" w:name="_Toc7106"/>
      <w:r>
        <w:rPr>
          <w:rFonts w:hint="eastAsia" w:ascii="Cambria" w:hAnsi="Cambria"/>
          <w:b/>
          <w:bCs/>
          <w:sz w:val="24"/>
          <w:szCs w:val="24"/>
        </w:rPr>
        <w:t>五、酬金或计取方式</w:t>
      </w:r>
      <w:bookmarkEnd w:id="299"/>
      <w:bookmarkEnd w:id="300"/>
      <w:bookmarkEnd w:id="301"/>
      <w:bookmarkEnd w:id="302"/>
    </w:p>
    <w:p>
      <w:pPr>
        <w:widowControl/>
        <w:spacing w:line="360" w:lineRule="auto"/>
        <w:ind w:firstLine="240" w:firstLineChars="100"/>
        <w:jc w:val="left"/>
        <w:rPr>
          <w:rFonts w:ascii="宋体" w:hAnsi="宋体"/>
          <w:kern w:val="0"/>
          <w:sz w:val="24"/>
        </w:rPr>
      </w:pPr>
      <w:r>
        <w:rPr>
          <w:rFonts w:hint="eastAsia" w:ascii="宋体" w:hAnsi="宋体"/>
          <w:kern w:val="0"/>
          <w:sz w:val="24"/>
        </w:rPr>
        <w:t xml:space="preserve">  1.酬金：最终造价咨询费                  。</w:t>
      </w:r>
      <w:r>
        <w:rPr>
          <w:rFonts w:hint="eastAsia" w:ascii="宋体" w:hAnsi="宋体"/>
          <w:color w:val="FF0000"/>
          <w:kern w:val="0"/>
          <w:sz w:val="24"/>
        </w:rPr>
        <w:t xml:space="preserve"> </w:t>
      </w:r>
    </w:p>
    <w:p>
      <w:pPr>
        <w:widowControl/>
        <w:spacing w:line="360" w:lineRule="auto"/>
        <w:ind w:firstLine="240" w:firstLineChars="100"/>
        <w:jc w:val="left"/>
        <w:rPr>
          <w:rFonts w:ascii="宋体" w:hAnsi="宋体"/>
          <w:kern w:val="0"/>
          <w:sz w:val="24"/>
        </w:rPr>
      </w:pPr>
      <w:r>
        <w:rPr>
          <w:rFonts w:hint="eastAsia" w:ascii="宋体" w:hAnsi="宋体"/>
          <w:kern w:val="0"/>
          <w:sz w:val="24"/>
        </w:rPr>
        <w:t xml:space="preserve">  2.计取方式：</w:t>
      </w:r>
      <w:r>
        <w:rPr>
          <w:rFonts w:hint="eastAsia" w:ascii="宋体" w:hAnsi="宋体"/>
          <w:bCs/>
          <w:kern w:val="0"/>
          <w:sz w:val="24"/>
        </w:rPr>
        <w:t>酬金或计取方式详见附录A。</w:t>
      </w:r>
    </w:p>
    <w:p>
      <w:pPr>
        <w:spacing w:line="360" w:lineRule="auto"/>
        <w:ind w:left="482"/>
        <w:jc w:val="left"/>
        <w:outlineLvl w:val="0"/>
        <w:rPr>
          <w:rFonts w:ascii="宋体" w:hAnsi="宋体"/>
          <w:sz w:val="24"/>
          <w:szCs w:val="24"/>
        </w:rPr>
      </w:pPr>
      <w:bookmarkStart w:id="303" w:name="_Toc422322476"/>
      <w:bookmarkStart w:id="304" w:name="_Toc419045058"/>
      <w:bookmarkStart w:id="305" w:name="_Toc31053"/>
      <w:bookmarkStart w:id="306" w:name="_Toc4909"/>
      <w:r>
        <w:rPr>
          <w:rFonts w:hint="eastAsia" w:ascii="Cambria" w:hAnsi="Cambria"/>
          <w:b/>
          <w:bCs/>
          <w:sz w:val="24"/>
          <w:szCs w:val="24"/>
        </w:rPr>
        <w:t>六、合同文件的构成</w:t>
      </w:r>
      <w:bookmarkEnd w:id="303"/>
      <w:bookmarkEnd w:id="304"/>
      <w:r>
        <w:rPr>
          <w:rFonts w:ascii="宋体" w:hAnsi="宋体"/>
          <w:sz w:val="24"/>
          <w:szCs w:val="24"/>
        </w:rPr>
        <w:br w:type="textWrapping"/>
      </w:r>
      <w:r>
        <w:rPr>
          <w:rFonts w:hint="eastAsia" w:ascii="宋体" w:hAnsi="宋体"/>
          <w:sz w:val="24"/>
          <w:szCs w:val="24"/>
        </w:rPr>
        <w:t>本协议书与下列文件一起构成合同文件:</w:t>
      </w:r>
      <w:bookmarkEnd w:id="305"/>
      <w:bookmarkEnd w:id="306"/>
    </w:p>
    <w:p>
      <w:pPr>
        <w:spacing w:line="360" w:lineRule="auto"/>
        <w:ind w:left="481"/>
        <w:jc w:val="left"/>
        <w:rPr>
          <w:rFonts w:ascii="宋体" w:hAnsi="宋体"/>
          <w:sz w:val="24"/>
          <w:szCs w:val="24"/>
        </w:rPr>
      </w:pPr>
      <w:r>
        <w:rPr>
          <w:rFonts w:hint="eastAsia" w:ascii="宋体" w:hAnsi="宋体"/>
          <w:sz w:val="24"/>
          <w:szCs w:val="24"/>
        </w:rPr>
        <w:t>1.中标通知书或委托书（如果有）；</w:t>
      </w:r>
    </w:p>
    <w:p>
      <w:pPr>
        <w:spacing w:line="360" w:lineRule="auto"/>
        <w:ind w:left="481"/>
        <w:jc w:val="left"/>
        <w:rPr>
          <w:rFonts w:ascii="宋体" w:hAnsi="宋体"/>
          <w:sz w:val="24"/>
          <w:szCs w:val="24"/>
        </w:rPr>
      </w:pPr>
      <w:r>
        <w:rPr>
          <w:rFonts w:hint="eastAsia" w:ascii="宋体" w:hAnsi="宋体"/>
          <w:sz w:val="24"/>
          <w:szCs w:val="24"/>
        </w:rPr>
        <w:t>2.投标函及投标函附录或造价咨询服务建议书（如果有）；</w:t>
      </w:r>
    </w:p>
    <w:p>
      <w:pPr>
        <w:spacing w:line="360" w:lineRule="auto"/>
        <w:ind w:left="481"/>
        <w:jc w:val="left"/>
        <w:rPr>
          <w:rFonts w:ascii="宋体" w:hAnsi="宋体"/>
          <w:sz w:val="24"/>
          <w:szCs w:val="24"/>
        </w:rPr>
      </w:pPr>
      <w:r>
        <w:rPr>
          <w:rFonts w:hint="eastAsia" w:ascii="宋体" w:hAnsi="宋体"/>
          <w:sz w:val="24"/>
          <w:szCs w:val="24"/>
        </w:rPr>
        <w:t>3.投标文件；</w:t>
      </w:r>
    </w:p>
    <w:p>
      <w:pPr>
        <w:spacing w:line="360" w:lineRule="auto"/>
        <w:ind w:left="481"/>
        <w:jc w:val="left"/>
        <w:rPr>
          <w:rFonts w:ascii="宋体" w:hAnsi="宋体"/>
          <w:sz w:val="24"/>
          <w:szCs w:val="24"/>
        </w:rPr>
      </w:pPr>
      <w:r>
        <w:rPr>
          <w:rFonts w:hint="eastAsia" w:ascii="宋体" w:hAnsi="宋体"/>
          <w:sz w:val="24"/>
          <w:szCs w:val="24"/>
        </w:rPr>
        <w:t>4.专用条件及附录；</w:t>
      </w:r>
    </w:p>
    <w:p>
      <w:pPr>
        <w:spacing w:line="360" w:lineRule="auto"/>
        <w:ind w:left="481"/>
        <w:jc w:val="left"/>
        <w:rPr>
          <w:rFonts w:ascii="宋体" w:hAnsi="宋体"/>
          <w:sz w:val="24"/>
          <w:szCs w:val="24"/>
        </w:rPr>
      </w:pPr>
      <w:r>
        <w:rPr>
          <w:rFonts w:hint="eastAsia" w:ascii="宋体" w:hAnsi="宋体"/>
          <w:sz w:val="24"/>
          <w:szCs w:val="24"/>
        </w:rPr>
        <w:t>5.通用条件；</w:t>
      </w:r>
    </w:p>
    <w:p>
      <w:pPr>
        <w:spacing w:line="360" w:lineRule="auto"/>
        <w:ind w:left="481"/>
        <w:jc w:val="left"/>
        <w:rPr>
          <w:rFonts w:ascii="宋体" w:hAnsi="宋体"/>
          <w:sz w:val="24"/>
          <w:szCs w:val="24"/>
        </w:rPr>
      </w:pPr>
      <w:r>
        <w:rPr>
          <w:rFonts w:hint="eastAsia" w:ascii="宋体" w:hAnsi="宋体"/>
          <w:sz w:val="24"/>
          <w:szCs w:val="24"/>
        </w:rPr>
        <w:t>6.其他合同文件。</w:t>
      </w:r>
    </w:p>
    <w:p>
      <w:pPr>
        <w:spacing w:line="360" w:lineRule="auto"/>
        <w:ind w:firstLine="480" w:firstLineChars="200"/>
        <w:jc w:val="left"/>
        <w:rPr>
          <w:rFonts w:ascii="宋体" w:hAnsi="宋体"/>
          <w:sz w:val="24"/>
          <w:szCs w:val="24"/>
        </w:rPr>
      </w:pPr>
      <w:r>
        <w:rPr>
          <w:rFonts w:ascii="宋体" w:hAnsi="宋体"/>
          <w:sz w:val="24"/>
          <w:szCs w:val="24"/>
        </w:rPr>
        <w:t>上述各项合同文件包括合同当事人就该项合同文件所作出的补充和修改</w:t>
      </w:r>
      <w:r>
        <w:rPr>
          <w:rFonts w:hint="eastAsia" w:ascii="宋体" w:hAnsi="宋体"/>
          <w:sz w:val="24"/>
          <w:szCs w:val="24"/>
        </w:rPr>
        <w:t>，</w:t>
      </w:r>
      <w:r>
        <w:rPr>
          <w:rFonts w:ascii="宋体" w:hAnsi="宋体"/>
          <w:sz w:val="24"/>
          <w:szCs w:val="24"/>
        </w:rPr>
        <w:t>属于同一类内容的文件，应以最新签署的为准。</w:t>
      </w:r>
    </w:p>
    <w:p>
      <w:pPr>
        <w:spacing w:line="360" w:lineRule="auto"/>
        <w:ind w:firstLine="480" w:firstLineChars="200"/>
        <w:jc w:val="left"/>
        <w:rPr>
          <w:rFonts w:ascii="宋体" w:hAnsi="宋体"/>
          <w:sz w:val="24"/>
          <w:szCs w:val="24"/>
        </w:rPr>
      </w:pPr>
      <w:r>
        <w:rPr>
          <w:rFonts w:hint="eastAsia" w:ascii="宋体" w:hAnsi="宋体"/>
          <w:sz w:val="24"/>
          <w:szCs w:val="24"/>
        </w:rPr>
        <w:t>在合同订立及履行过程中形成的与合同有关的文件（包括补充协议）均构</w:t>
      </w:r>
    </w:p>
    <w:p>
      <w:pPr>
        <w:widowControl/>
        <w:spacing w:line="360" w:lineRule="auto"/>
        <w:jc w:val="left"/>
        <w:rPr>
          <w:rFonts w:ascii="宋体" w:hAnsi="宋体" w:cs="宋体"/>
          <w:bCs/>
          <w:smallCaps/>
          <w:kern w:val="0"/>
          <w:sz w:val="24"/>
        </w:rPr>
      </w:pPr>
      <w:r>
        <w:rPr>
          <w:rFonts w:hint="eastAsia" w:ascii="宋体" w:hAnsi="宋体" w:cs="宋体"/>
          <w:kern w:val="0"/>
          <w:sz w:val="24"/>
        </w:rPr>
        <w:t>成合同文件的组成部分。</w:t>
      </w:r>
    </w:p>
    <w:p>
      <w:pPr>
        <w:spacing w:line="360" w:lineRule="auto"/>
        <w:ind w:firstLine="482" w:firstLineChars="200"/>
        <w:jc w:val="left"/>
        <w:outlineLvl w:val="0"/>
        <w:rPr>
          <w:rFonts w:ascii="Cambria" w:hAnsi="Cambria"/>
          <w:b/>
          <w:bCs/>
          <w:sz w:val="24"/>
          <w:szCs w:val="24"/>
          <w:u w:val="single"/>
        </w:rPr>
      </w:pPr>
      <w:bookmarkStart w:id="307" w:name="_Toc15458"/>
      <w:bookmarkStart w:id="308" w:name="_Toc2554"/>
      <w:bookmarkStart w:id="309" w:name="_Toc419045057"/>
      <w:bookmarkStart w:id="310" w:name="_Toc422322477"/>
      <w:r>
        <w:rPr>
          <w:rFonts w:hint="eastAsia" w:ascii="Cambria" w:hAnsi="Cambria"/>
          <w:b/>
          <w:bCs/>
          <w:sz w:val="24"/>
          <w:szCs w:val="24"/>
          <w:u w:val="single"/>
        </w:rPr>
        <w:t>专用条件及附录须经合同当事人签字并盖公章。</w:t>
      </w:r>
      <w:bookmarkEnd w:id="307"/>
      <w:bookmarkEnd w:id="308"/>
    </w:p>
    <w:p>
      <w:pPr>
        <w:spacing w:line="360" w:lineRule="auto"/>
        <w:ind w:firstLine="482" w:firstLineChars="200"/>
        <w:jc w:val="left"/>
        <w:outlineLvl w:val="0"/>
        <w:rPr>
          <w:rFonts w:ascii="Cambria" w:hAnsi="Cambria"/>
          <w:b/>
          <w:bCs/>
          <w:sz w:val="24"/>
          <w:szCs w:val="24"/>
        </w:rPr>
      </w:pPr>
      <w:bookmarkStart w:id="311" w:name="_Toc23912"/>
      <w:bookmarkStart w:id="312" w:name="_Toc3634"/>
      <w:r>
        <w:rPr>
          <w:rFonts w:hint="eastAsia" w:ascii="Cambria" w:hAnsi="Cambria"/>
          <w:b/>
          <w:bCs/>
          <w:sz w:val="24"/>
          <w:szCs w:val="24"/>
        </w:rPr>
        <w:t>七、</w:t>
      </w:r>
      <w:bookmarkStart w:id="313" w:name="8"/>
      <w:r>
        <w:rPr>
          <w:rFonts w:hint="eastAsia" w:ascii="Cambria" w:hAnsi="Cambria"/>
          <w:b/>
          <w:bCs/>
          <w:sz w:val="24"/>
          <w:szCs w:val="24"/>
        </w:rPr>
        <w:t>词语</w:t>
      </w:r>
      <w:bookmarkEnd w:id="309"/>
      <w:r>
        <w:rPr>
          <w:rFonts w:hint="eastAsia" w:ascii="Cambria" w:hAnsi="Cambria"/>
          <w:b/>
          <w:bCs/>
          <w:sz w:val="24"/>
          <w:szCs w:val="24"/>
        </w:rPr>
        <w:t>定义</w:t>
      </w:r>
      <w:bookmarkEnd w:id="310"/>
      <w:bookmarkEnd w:id="311"/>
      <w:bookmarkEnd w:id="312"/>
    </w:p>
    <w:p>
      <w:pPr>
        <w:widowControl/>
        <w:spacing w:line="360" w:lineRule="auto"/>
        <w:ind w:firstLine="480" w:firstLineChars="200"/>
        <w:jc w:val="left"/>
        <w:rPr>
          <w:rFonts w:ascii="宋体" w:hAnsi="宋体" w:cs="宋体"/>
          <w:kern w:val="0"/>
          <w:sz w:val="24"/>
        </w:rPr>
      </w:pPr>
      <w:r>
        <w:rPr>
          <w:rFonts w:hint="eastAsia" w:ascii="宋体" w:hAnsi="宋体"/>
          <w:kern w:val="0"/>
          <w:sz w:val="24"/>
        </w:rPr>
        <w:t>协议书中相关词语的含义与通用条件中的定义与解释相同。</w:t>
      </w:r>
      <w:bookmarkEnd w:id="313"/>
    </w:p>
    <w:p>
      <w:pPr>
        <w:spacing w:line="360" w:lineRule="auto"/>
        <w:ind w:firstLine="482" w:firstLineChars="200"/>
        <w:jc w:val="left"/>
        <w:outlineLvl w:val="0"/>
        <w:rPr>
          <w:rFonts w:ascii="Cambria" w:hAnsi="Cambria"/>
          <w:b/>
          <w:bCs/>
          <w:sz w:val="24"/>
          <w:szCs w:val="24"/>
        </w:rPr>
      </w:pPr>
      <w:bookmarkStart w:id="314" w:name="_Toc422322478"/>
      <w:bookmarkStart w:id="315" w:name="_Toc19082"/>
      <w:bookmarkStart w:id="316" w:name="_Toc419045063"/>
      <w:bookmarkStart w:id="317" w:name="_Toc32006"/>
      <w:r>
        <w:rPr>
          <w:rFonts w:hint="eastAsia" w:ascii="Cambria" w:hAnsi="Cambria"/>
          <w:b/>
          <w:bCs/>
          <w:sz w:val="24"/>
          <w:szCs w:val="24"/>
        </w:rPr>
        <w:t>八、合同订立</w:t>
      </w:r>
      <w:bookmarkEnd w:id="314"/>
      <w:bookmarkEnd w:id="315"/>
      <w:bookmarkEnd w:id="316"/>
      <w:bookmarkEnd w:id="317"/>
    </w:p>
    <w:p>
      <w:pPr>
        <w:spacing w:line="360" w:lineRule="auto"/>
        <w:ind w:firstLine="480" w:firstLineChars="200"/>
        <w:rPr>
          <w:rFonts w:ascii="宋体" w:hAnsi="宋体"/>
          <w:sz w:val="24"/>
          <w:szCs w:val="24"/>
        </w:rPr>
      </w:pPr>
      <w:r>
        <w:rPr>
          <w:rFonts w:hint="eastAsia" w:ascii="宋体" w:hAnsi="宋体"/>
          <w:sz w:val="24"/>
          <w:szCs w:val="24"/>
        </w:rPr>
        <w:t>1.订立时间</w:t>
      </w:r>
      <w:r>
        <w:rPr>
          <w:rFonts w:hint="eastAsia" w:ascii="宋体" w:hAnsi="宋体"/>
          <w:color w:val="FF0000"/>
          <w:sz w:val="24"/>
          <w:szCs w:val="24"/>
        </w:rPr>
        <w:t xml:space="preserve"> </w:t>
      </w:r>
      <w:r>
        <w:rPr>
          <w:rFonts w:hint="eastAsia" w:ascii="宋体" w:hAnsi="宋体"/>
          <w:sz w:val="24"/>
          <w:szCs w:val="24"/>
          <w:u w:val="single"/>
        </w:rPr>
        <w:t xml:space="preserve"> 2022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r>
        <w:rPr>
          <w:rFonts w:hint="eastAsia" w:ascii="宋体" w:hAnsi="宋体"/>
          <w:sz w:val="24"/>
          <w:szCs w:val="24"/>
        </w:rPr>
        <w:t xml:space="preserve">2.订立地点： </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ind w:firstLine="482" w:firstLineChars="200"/>
        <w:jc w:val="left"/>
        <w:outlineLvl w:val="0"/>
        <w:rPr>
          <w:rFonts w:ascii="Cambria" w:hAnsi="Cambria"/>
          <w:b/>
          <w:bCs/>
          <w:sz w:val="24"/>
          <w:szCs w:val="24"/>
        </w:rPr>
      </w:pPr>
      <w:bookmarkStart w:id="318" w:name="_Toc24596"/>
      <w:bookmarkStart w:id="319" w:name="_Toc422322479"/>
      <w:bookmarkStart w:id="320" w:name="_Toc419045064"/>
      <w:bookmarkStart w:id="321" w:name="_Toc9070"/>
      <w:r>
        <w:rPr>
          <w:rFonts w:hint="eastAsia" w:ascii="Cambria" w:hAnsi="Cambria"/>
          <w:b/>
          <w:bCs/>
          <w:sz w:val="24"/>
          <w:szCs w:val="24"/>
        </w:rPr>
        <w:t>九、合同生效</w:t>
      </w:r>
      <w:bookmarkEnd w:id="318"/>
      <w:bookmarkEnd w:id="319"/>
      <w:bookmarkEnd w:id="320"/>
      <w:bookmarkEnd w:id="321"/>
    </w:p>
    <w:p>
      <w:pPr>
        <w:spacing w:line="360" w:lineRule="auto"/>
        <w:ind w:firstLine="480" w:firstLineChars="200"/>
        <w:rPr>
          <w:rFonts w:ascii="宋体" w:hAnsi="宋体"/>
          <w:sz w:val="24"/>
          <w:szCs w:val="24"/>
        </w:rPr>
      </w:pPr>
      <w:r>
        <w:rPr>
          <w:rFonts w:hint="eastAsia" w:ascii="宋体" w:hAnsi="宋体"/>
          <w:sz w:val="24"/>
          <w:szCs w:val="24"/>
        </w:rPr>
        <w:t>本合同自</w:t>
      </w:r>
      <w:r>
        <w:rPr>
          <w:rFonts w:hint="eastAsia" w:ascii="宋体" w:hAnsi="宋体"/>
          <w:sz w:val="24"/>
          <w:szCs w:val="24"/>
          <w:u w:val="single"/>
        </w:rPr>
        <w:t xml:space="preserve"> 双方法人或委托代理人签字并加盖公章后</w:t>
      </w:r>
      <w:r>
        <w:rPr>
          <w:rFonts w:hint="eastAsia" w:ascii="宋体" w:hAnsi="宋体"/>
          <w:sz w:val="24"/>
          <w:szCs w:val="24"/>
        </w:rPr>
        <w:t>生效。</w:t>
      </w:r>
    </w:p>
    <w:p>
      <w:pPr>
        <w:spacing w:line="360" w:lineRule="auto"/>
        <w:ind w:firstLine="482" w:firstLineChars="200"/>
        <w:jc w:val="left"/>
        <w:outlineLvl w:val="0"/>
        <w:rPr>
          <w:rFonts w:ascii="Cambria" w:hAnsi="Cambria"/>
          <w:b/>
          <w:bCs/>
          <w:sz w:val="24"/>
          <w:szCs w:val="24"/>
        </w:rPr>
      </w:pPr>
      <w:bookmarkStart w:id="322" w:name="_Toc422322480"/>
      <w:bookmarkStart w:id="323" w:name="_Toc24532"/>
      <w:bookmarkStart w:id="324" w:name="_Toc14461"/>
      <w:bookmarkStart w:id="325" w:name="_Toc419045065"/>
      <w:r>
        <w:rPr>
          <w:rFonts w:hint="eastAsia" w:ascii="Cambria" w:hAnsi="Cambria"/>
          <w:b/>
          <w:bCs/>
          <w:sz w:val="24"/>
          <w:szCs w:val="24"/>
        </w:rPr>
        <w:t>十、合同份数</w:t>
      </w:r>
      <w:bookmarkEnd w:id="322"/>
      <w:bookmarkEnd w:id="323"/>
      <w:bookmarkEnd w:id="324"/>
      <w:bookmarkEnd w:id="325"/>
    </w:p>
    <w:p>
      <w:pPr>
        <w:spacing w:line="360" w:lineRule="auto"/>
        <w:ind w:firstLine="480" w:firstLineChars="200"/>
        <w:rPr>
          <w:rFonts w:ascii="宋体" w:hAnsi="宋体"/>
          <w:sz w:val="24"/>
          <w:szCs w:val="24"/>
        </w:rPr>
      </w:pPr>
      <w:r>
        <w:rPr>
          <w:rFonts w:hint="eastAsia" w:ascii="宋体" w:hAnsi="宋体"/>
          <w:sz w:val="24"/>
          <w:szCs w:val="24"/>
        </w:rPr>
        <w:t>本合同一式</w:t>
      </w:r>
      <w:r>
        <w:rPr>
          <w:rFonts w:hint="eastAsia" w:ascii="宋体" w:hAnsi="宋体"/>
          <w:sz w:val="24"/>
          <w:szCs w:val="24"/>
          <w:u w:val="single"/>
        </w:rPr>
        <w:t>壹拾份</w:t>
      </w:r>
      <w:r>
        <w:rPr>
          <w:rFonts w:hint="eastAsia" w:ascii="宋体" w:hAnsi="宋体"/>
          <w:sz w:val="24"/>
          <w:szCs w:val="24"/>
        </w:rPr>
        <w:t>，具有同等法律效力。其中，委托人执__</w:t>
      </w:r>
      <w:r>
        <w:rPr>
          <w:rFonts w:hint="eastAsia" w:ascii="宋体" w:hAnsi="宋体"/>
          <w:sz w:val="24"/>
          <w:szCs w:val="24"/>
          <w:u w:val="single"/>
        </w:rPr>
        <w:t>捌</w:t>
      </w:r>
      <w:r>
        <w:rPr>
          <w:rFonts w:hint="eastAsia" w:ascii="宋体" w:hAnsi="宋体"/>
          <w:sz w:val="24"/>
          <w:szCs w:val="24"/>
        </w:rPr>
        <w:t>__份，咨询人执__</w:t>
      </w:r>
      <w:r>
        <w:rPr>
          <w:rFonts w:hint="eastAsia" w:ascii="宋体" w:hAnsi="宋体"/>
          <w:sz w:val="24"/>
          <w:szCs w:val="24"/>
          <w:u w:val="single"/>
        </w:rPr>
        <w:t>贰</w:t>
      </w:r>
      <w:r>
        <w:rPr>
          <w:rFonts w:hint="eastAsia" w:ascii="宋体" w:hAnsi="宋体"/>
          <w:sz w:val="24"/>
          <w:szCs w:val="24"/>
        </w:rPr>
        <w:t>__份。</w:t>
      </w:r>
    </w:p>
    <w:p>
      <w:pPr>
        <w:spacing w:line="360" w:lineRule="auto"/>
        <w:ind w:firstLine="480" w:firstLineChars="200"/>
        <w:rPr>
          <w:rFonts w:ascii="宋体" w:hAnsi="宋体"/>
          <w:sz w:val="24"/>
          <w:szCs w:val="24"/>
        </w:rPr>
      </w:pPr>
      <w:r>
        <w:rPr>
          <w:rFonts w:hint="eastAsia" w:ascii="宋体" w:hAnsi="宋体"/>
          <w:sz w:val="24"/>
          <w:szCs w:val="24"/>
        </w:rPr>
        <w:t>（以下无正文，为签署页）</w:t>
      </w:r>
    </w:p>
    <w:tbl>
      <w:tblPr>
        <w:tblStyle w:val="32"/>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委托人（盖章）：</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咨询人（盖章）：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szCs w:val="21"/>
              </w:rPr>
            </w:pPr>
            <w:r>
              <w:rPr>
                <w:rFonts w:hint="eastAsia"/>
                <w:szCs w:val="21"/>
              </w:rPr>
              <w:t>法定代表人或</w:t>
            </w:r>
          </w:p>
          <w:p>
            <w:pPr>
              <w:spacing w:after="120" w:line="480" w:lineRule="auto"/>
              <w:rPr>
                <w:rFonts w:ascii="Calibri" w:hAnsi="Calibri" w:cs="宋体"/>
                <w:sz w:val="24"/>
                <w:szCs w:val="24"/>
              </w:rPr>
            </w:pPr>
            <w:r>
              <w:rPr>
                <w:rFonts w:hint="eastAsia"/>
                <w:szCs w:val="21"/>
              </w:rPr>
              <w:t>其授权的代理人（签字或盖章）：</w:t>
            </w:r>
          </w:p>
        </w:tc>
        <w:tc>
          <w:tcPr>
            <w:tcW w:w="4261" w:type="dxa"/>
            <w:tcBorders>
              <w:tl2br w:val="nil"/>
              <w:tr2bl w:val="nil"/>
            </w:tcBorders>
          </w:tcPr>
          <w:p>
            <w:pPr>
              <w:spacing w:after="120" w:line="480" w:lineRule="auto"/>
              <w:rPr>
                <w:szCs w:val="21"/>
              </w:rPr>
            </w:pPr>
            <w:r>
              <w:rPr>
                <w:rFonts w:hint="eastAsia"/>
                <w:szCs w:val="21"/>
              </w:rPr>
              <w:t>法定代表人或</w:t>
            </w:r>
          </w:p>
          <w:p>
            <w:pPr>
              <w:spacing w:after="120" w:line="480" w:lineRule="auto"/>
              <w:rPr>
                <w:rFonts w:ascii="Calibri" w:hAnsi="Calibri" w:cs="宋体"/>
                <w:sz w:val="24"/>
                <w:szCs w:val="24"/>
              </w:rPr>
            </w:pPr>
            <w:r>
              <w:rPr>
                <w:rFonts w:hint="eastAsia"/>
                <w:szCs w:val="21"/>
              </w:rPr>
              <w:t>其授权的代理人（签字或盖章）：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纳税人识别码：</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纳税人识别码：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住    所：</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账    号：</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开户银行：</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邮政编码：</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szCs w:val="21"/>
              </w:rPr>
              <w:t>电    话：</w:t>
            </w:r>
          </w:p>
        </w:tc>
        <w:tc>
          <w:tcPr>
            <w:tcW w:w="4261" w:type="dxa"/>
            <w:tcBorders>
              <w:tl2br w:val="nil"/>
              <w:tr2bl w:val="nil"/>
            </w:tcBorders>
          </w:tcPr>
          <w:p>
            <w:pPr>
              <w:spacing w:after="120" w:line="480" w:lineRule="auto"/>
              <w:rPr>
                <w:rFonts w:ascii="Calibri" w:hAnsi="Calibri" w:cs="宋体"/>
                <w:sz w:val="24"/>
                <w:szCs w:val="24"/>
              </w:rPr>
            </w:pPr>
            <w:r>
              <w:rPr>
                <w:rFonts w:hint="eastAsia"/>
                <w:szCs w:val="21"/>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261" w:type="dxa"/>
            <w:tcBorders>
              <w:tl2br w:val="nil"/>
              <w:tr2bl w:val="nil"/>
            </w:tcBorders>
          </w:tcPr>
          <w:p>
            <w:pPr>
              <w:spacing w:after="120" w:line="480" w:lineRule="auto"/>
              <w:rPr>
                <w:rFonts w:ascii="Calibri" w:hAnsi="Calibri" w:cs="宋体"/>
                <w:sz w:val="24"/>
                <w:szCs w:val="24"/>
              </w:rPr>
            </w:pP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w:t>
            </w:r>
          </w:p>
        </w:tc>
        <w:tc>
          <w:tcPr>
            <w:tcW w:w="4261" w:type="dxa"/>
            <w:tcBorders>
              <w:tl2br w:val="nil"/>
              <w:tr2bl w:val="nil"/>
            </w:tcBorders>
          </w:tcPr>
          <w:p>
            <w:pPr>
              <w:spacing w:after="120" w:line="480" w:lineRule="auto"/>
              <w:rPr>
                <w:rFonts w:ascii="Calibri" w:hAnsi="Calibri" w:cs="宋体"/>
                <w:sz w:val="24"/>
                <w:szCs w:val="24"/>
              </w:rPr>
            </w:pPr>
            <w:r>
              <w:rPr>
                <w:rFonts w:hint="eastAsia" w:ascii="宋体" w:hAnsi="宋体"/>
                <w:sz w:val="24"/>
                <w:szCs w:val="24"/>
                <w:u w:val="single"/>
              </w:rPr>
              <w:t>　   　</w:t>
            </w:r>
            <w:r>
              <w:rPr>
                <w:rFonts w:hint="eastAsia" w:ascii="宋体" w:hAnsi="宋体"/>
                <w:sz w:val="24"/>
                <w:szCs w:val="24"/>
              </w:rPr>
              <w:t>年</w:t>
            </w:r>
            <w:r>
              <w:rPr>
                <w:rFonts w:hint="eastAsia" w:ascii="宋体" w:hAnsi="宋体"/>
                <w:sz w:val="24"/>
                <w:szCs w:val="24"/>
                <w:u w:val="single"/>
              </w:rPr>
              <w:t>　  　</w:t>
            </w:r>
            <w:r>
              <w:rPr>
                <w:rFonts w:hint="eastAsia" w:ascii="宋体" w:hAnsi="宋体"/>
                <w:sz w:val="24"/>
                <w:szCs w:val="24"/>
              </w:rPr>
              <w:t>月</w:t>
            </w:r>
            <w:r>
              <w:rPr>
                <w:rFonts w:hint="eastAsia" w:ascii="宋体" w:hAnsi="宋体"/>
                <w:sz w:val="24"/>
                <w:szCs w:val="24"/>
                <w:u w:val="single"/>
              </w:rPr>
              <w:t>　  　</w:t>
            </w:r>
            <w:r>
              <w:rPr>
                <w:rFonts w:hint="eastAsia" w:ascii="宋体" w:hAnsi="宋体"/>
                <w:sz w:val="24"/>
                <w:szCs w:val="24"/>
              </w:rPr>
              <w:t>日</w:t>
            </w:r>
          </w:p>
        </w:tc>
      </w:tr>
    </w:tbl>
    <w:p>
      <w:pPr>
        <w:spacing w:after="120" w:line="480" w:lineRule="auto"/>
        <w:ind w:left="420" w:leftChars="200"/>
        <w:rPr>
          <w:rFonts w:ascii="Calibri" w:hAnsi="Calibri" w:cs="宋体"/>
          <w:sz w:val="24"/>
          <w:szCs w:val="24"/>
        </w:rPr>
      </w:pPr>
    </w:p>
    <w:bookmarkEnd w:id="294"/>
    <w:p>
      <w:pPr>
        <w:keepNext/>
        <w:keepLines/>
        <w:spacing w:before="340" w:after="120" w:line="578" w:lineRule="auto"/>
        <w:jc w:val="center"/>
        <w:outlineLvl w:val="0"/>
        <w:rPr>
          <w:rFonts w:ascii="宋体" w:hAnsi="宋体"/>
          <w:b/>
          <w:bCs/>
          <w:kern w:val="44"/>
          <w:sz w:val="30"/>
          <w:szCs w:val="30"/>
        </w:rPr>
      </w:pPr>
      <w:bookmarkStart w:id="326" w:name="_Toc3644"/>
      <w:bookmarkStart w:id="327" w:name="_Toc422322481"/>
      <w:bookmarkStart w:id="328" w:name="_Toc419045066"/>
      <w:bookmarkStart w:id="329" w:name="_Toc32174"/>
      <w:r>
        <w:rPr>
          <w:rFonts w:hint="eastAsia" w:ascii="宋体" w:hAnsi="宋体"/>
          <w:b/>
          <w:bCs/>
          <w:kern w:val="44"/>
          <w:sz w:val="30"/>
          <w:szCs w:val="30"/>
        </w:rPr>
        <w:t>第二部分　通用条件</w:t>
      </w:r>
      <w:bookmarkEnd w:id="326"/>
      <w:bookmarkEnd w:id="327"/>
      <w:bookmarkEnd w:id="328"/>
      <w:bookmarkEnd w:id="329"/>
      <w:r>
        <w:rPr>
          <w:rFonts w:hint="eastAsia" w:ascii="宋体" w:hAnsi="宋体"/>
          <w:b/>
          <w:bCs/>
          <w:kern w:val="44"/>
          <w:sz w:val="30"/>
          <w:szCs w:val="30"/>
        </w:rPr>
        <w:t>（略）</w:t>
      </w:r>
    </w:p>
    <w:p>
      <w:pPr>
        <w:spacing w:line="360" w:lineRule="auto"/>
        <w:jc w:val="center"/>
        <w:rPr>
          <w:rFonts w:ascii="宋体" w:hAnsi="宋体"/>
          <w:sz w:val="22"/>
          <w:szCs w:val="22"/>
        </w:rPr>
      </w:pPr>
      <w:bookmarkStart w:id="330" w:name="_Toc21488"/>
      <w:bookmarkStart w:id="331" w:name="_Toc4497"/>
      <w:r>
        <w:rPr>
          <w:rFonts w:hint="eastAsia" w:ascii="宋体" w:hAnsi="宋体"/>
          <w:b/>
          <w:bCs/>
          <w:kern w:val="44"/>
          <w:sz w:val="30"/>
          <w:szCs w:val="30"/>
        </w:rPr>
        <w:t>第三部分　专用条件</w:t>
      </w:r>
      <w:bookmarkEnd w:id="330"/>
      <w:bookmarkEnd w:id="331"/>
      <w:r>
        <w:rPr>
          <w:rFonts w:hint="eastAsia" w:ascii="宋体" w:hAnsi="宋体"/>
          <w:b/>
          <w:bCs/>
          <w:kern w:val="44"/>
          <w:sz w:val="30"/>
          <w:szCs w:val="30"/>
        </w:rPr>
        <w:t>（略）</w:t>
      </w:r>
    </w:p>
    <w:p>
      <w:pPr>
        <w:spacing w:line="360" w:lineRule="auto"/>
        <w:ind w:firstLine="1430" w:firstLineChars="650"/>
        <w:jc w:val="center"/>
        <w:rPr>
          <w:rFonts w:ascii="宋体" w:hAnsi="宋体"/>
          <w:sz w:val="22"/>
          <w:szCs w:val="22"/>
        </w:rPr>
      </w:pPr>
      <w:r>
        <w:rPr>
          <w:rFonts w:hint="eastAsia" w:ascii="宋体" w:hAnsi="宋体"/>
          <w:sz w:val="22"/>
          <w:szCs w:val="22"/>
        </w:rPr>
        <w:t xml:space="preserve"> </w:t>
      </w:r>
    </w:p>
    <w:p>
      <w:pPr>
        <w:spacing w:line="360" w:lineRule="auto"/>
        <w:ind w:right="105"/>
        <w:rPr>
          <w:rFonts w:ascii="宋体" w:hAnsi="宋体"/>
          <w:sz w:val="24"/>
          <w:szCs w:val="24"/>
        </w:rPr>
      </w:pPr>
      <w:r>
        <w:rPr>
          <w:rFonts w:hint="eastAsia" w:ascii="宋体" w:hAnsi="宋体"/>
          <w:b/>
          <w:bCs/>
          <w:sz w:val="22"/>
          <w:szCs w:val="22"/>
        </w:rPr>
        <w:t>注：本合同条款仅供参考（以采购人最终认定的合同格式为准）</w:t>
      </w:r>
    </w:p>
    <w:p>
      <w:pPr>
        <w:snapToGrid w:val="0"/>
        <w:spacing w:line="360" w:lineRule="auto"/>
        <w:ind w:firstLine="444" w:firstLineChars="202"/>
        <w:rPr>
          <w:rFonts w:ascii="宋体" w:hAnsi="宋体" w:cs="宋体"/>
          <w:sz w:val="22"/>
          <w:szCs w:val="22"/>
        </w:rPr>
      </w:pPr>
    </w:p>
    <w:p>
      <w:pPr>
        <w:snapToGrid w:val="0"/>
        <w:spacing w:line="360" w:lineRule="auto"/>
        <w:rPr>
          <w:rFonts w:ascii="宋体" w:hAnsi="宋体"/>
        </w:rPr>
      </w:pPr>
      <w:r>
        <w:rPr>
          <w:rFonts w:hint="eastAsia" w:ascii="宋体" w:hAnsi="宋体"/>
          <w:b/>
          <w:bCs/>
        </w:rPr>
        <w:br w:type="page"/>
      </w:r>
    </w:p>
    <w:p>
      <w:pPr>
        <w:pStyle w:val="3"/>
        <w:jc w:val="center"/>
        <w:rPr>
          <w:rFonts w:ascii="宋体" w:hAnsi="宋体"/>
          <w:szCs w:val="22"/>
        </w:rPr>
      </w:pPr>
      <w:bookmarkStart w:id="332" w:name="_Toc512597571"/>
      <w:bookmarkStart w:id="333" w:name="_Toc6785"/>
      <w:bookmarkStart w:id="334" w:name="_Toc5979"/>
      <w:r>
        <w:rPr>
          <w:rFonts w:hint="eastAsia" w:ascii="宋体" w:hAnsi="宋体"/>
          <w:szCs w:val="22"/>
        </w:rPr>
        <w:t xml:space="preserve">第五章 </w:t>
      </w:r>
      <w:bookmarkEnd w:id="332"/>
      <w:bookmarkEnd w:id="333"/>
      <w:r>
        <w:rPr>
          <w:rFonts w:hint="eastAsia" w:ascii="宋体" w:hAnsi="宋体"/>
          <w:szCs w:val="22"/>
        </w:rPr>
        <w:t>采购需求</w:t>
      </w:r>
      <w:bookmarkEnd w:id="334"/>
    </w:p>
    <w:p>
      <w:pPr>
        <w:spacing w:line="360" w:lineRule="auto"/>
        <w:rPr>
          <w:rFonts w:ascii="宋体" w:hAnsi="宋体"/>
          <w:sz w:val="36"/>
          <w:szCs w:val="36"/>
        </w:rPr>
      </w:pPr>
      <w:bookmarkStart w:id="335" w:name="_Toc6773"/>
      <w:bookmarkStart w:id="336" w:name="_Toc512597572"/>
    </w:p>
    <w:p>
      <w:pPr>
        <w:numPr>
          <w:ilvl w:val="0"/>
          <w:numId w:val="5"/>
        </w:numPr>
        <w:spacing w:line="360" w:lineRule="auto"/>
        <w:rPr>
          <w:rFonts w:hint="eastAsia"/>
          <w:sz w:val="24"/>
          <w:szCs w:val="24"/>
        </w:rPr>
      </w:pPr>
      <w:r>
        <w:rPr>
          <w:rFonts w:hint="eastAsia" w:ascii="宋体" w:hAnsi="宋体"/>
          <w:szCs w:val="36"/>
        </w:rPr>
        <w:br w:type="page"/>
      </w:r>
      <w:bookmarkStart w:id="337" w:name="_Toc104"/>
      <w:r>
        <w:rPr>
          <w:rFonts w:hint="eastAsia"/>
          <w:b/>
          <w:bCs/>
          <w:sz w:val="24"/>
          <w:szCs w:val="24"/>
        </w:rPr>
        <w:t>该项目全过程造价咨询服务具体内容：</w:t>
      </w:r>
      <w:r>
        <w:rPr>
          <w:rFonts w:hint="eastAsia"/>
          <w:sz w:val="24"/>
          <w:szCs w:val="24"/>
        </w:rPr>
        <w:t>1、配合项目概算审批工作；2、根据施工图，编制预算书工程量清单及控制价，上报市财政局主管科室，同时做好施工图技术经济分析（计算和分析整个建设项目、各单项工程和单位工程的技术经济指标)；3、编制项目资金使用计划；4、施工阶段造价风险分析及建议；5、审核工程预付款和进度款；6、工程变更、签证及索赔管理（工程变更需注意工程内容有增有减：签证内容与实际施工内容的符合性)；7、协助委托人主要设备和材料的认价工作；8、工程造价动态分析；9、汇总分阶段工程结算；10、审核工程竣工结算；11、协助建设单位整理项目竣工资料，并配合审计工作。具体内容详见招标文件。</w:t>
      </w:r>
    </w:p>
    <w:p>
      <w:pPr>
        <w:spacing w:line="360" w:lineRule="auto"/>
        <w:rPr>
          <w:sz w:val="24"/>
          <w:szCs w:val="24"/>
        </w:rPr>
      </w:pPr>
      <w:r>
        <w:rPr>
          <w:rFonts w:hint="eastAsia"/>
          <w:b/>
          <w:bCs/>
          <w:sz w:val="24"/>
          <w:szCs w:val="24"/>
        </w:rPr>
        <w:t>2、项目地点：</w:t>
      </w:r>
      <w:r>
        <w:rPr>
          <w:rFonts w:hint="eastAsia"/>
          <w:sz w:val="24"/>
          <w:szCs w:val="24"/>
        </w:rPr>
        <w:t>平顶山市城乡一体化示范区，南临滍阳路，北临复兴路，西临翠竹路，市中医医院新城区分院院内</w:t>
      </w:r>
    </w:p>
    <w:p>
      <w:pPr>
        <w:spacing w:line="360" w:lineRule="auto"/>
        <w:rPr>
          <w:sz w:val="24"/>
          <w:szCs w:val="24"/>
        </w:rPr>
      </w:pPr>
      <w:r>
        <w:rPr>
          <w:rFonts w:hint="eastAsia"/>
          <w:b/>
          <w:bCs/>
          <w:sz w:val="24"/>
          <w:szCs w:val="24"/>
        </w:rPr>
        <w:t>3、服务期限：</w:t>
      </w:r>
      <w:r>
        <w:rPr>
          <w:rFonts w:hint="eastAsia"/>
          <w:sz w:val="24"/>
          <w:szCs w:val="24"/>
        </w:rPr>
        <w:t>自合同签订之日起至项目工程竣工结算审核结束</w:t>
      </w:r>
    </w:p>
    <w:p>
      <w:pPr>
        <w:spacing w:line="360" w:lineRule="auto"/>
        <w:rPr>
          <w:sz w:val="24"/>
          <w:szCs w:val="24"/>
        </w:rPr>
      </w:pPr>
      <w:r>
        <w:rPr>
          <w:rFonts w:hint="eastAsia"/>
          <w:b/>
          <w:bCs/>
          <w:sz w:val="24"/>
          <w:szCs w:val="24"/>
        </w:rPr>
        <w:t>4、服务要求：</w:t>
      </w:r>
      <w:r>
        <w:rPr>
          <w:rFonts w:hint="eastAsia"/>
          <w:sz w:val="24"/>
          <w:szCs w:val="24"/>
        </w:rPr>
        <w:t>符合国家相关行业标准及采购人要求</w:t>
      </w:r>
    </w:p>
    <w:p>
      <w:pPr>
        <w:spacing w:line="360" w:lineRule="auto"/>
        <w:rPr>
          <w:b/>
          <w:bCs/>
          <w:sz w:val="24"/>
          <w:szCs w:val="24"/>
        </w:rPr>
      </w:pPr>
      <w:r>
        <w:rPr>
          <w:rFonts w:hint="eastAsia"/>
          <w:b/>
          <w:bCs/>
          <w:sz w:val="24"/>
          <w:szCs w:val="24"/>
        </w:rPr>
        <w:t>5、质量标准：</w:t>
      </w:r>
    </w:p>
    <w:p>
      <w:pPr>
        <w:spacing w:line="360" w:lineRule="auto"/>
        <w:ind w:firstLine="480" w:firstLineChars="200"/>
        <w:rPr>
          <w:sz w:val="24"/>
          <w:szCs w:val="24"/>
        </w:rPr>
      </w:pPr>
      <w:r>
        <w:rPr>
          <w:rFonts w:hint="eastAsia"/>
          <w:sz w:val="24"/>
          <w:szCs w:val="24"/>
        </w:rPr>
        <w:t>工程造价咨询成果文件应符合：国家、省、市有关规定，使项目进度、安全、成本有序可控，满足采购人要求；包括但不限于</w:t>
      </w:r>
      <w:r>
        <w:rPr>
          <w:sz w:val="24"/>
          <w:szCs w:val="24"/>
        </w:rPr>
        <w:t>《建设工程造价咨询成果文件质量标准》</w:t>
      </w:r>
      <w:r>
        <w:rPr>
          <w:rFonts w:hint="eastAsia"/>
          <w:sz w:val="24"/>
          <w:szCs w:val="24"/>
        </w:rPr>
        <w:t>（CECA/GC 7-2012）、《建设工程造价咨询档案立卷标准》DBJ41/T153-2016等行业标准。</w:t>
      </w:r>
    </w:p>
    <w:p>
      <w:pPr>
        <w:spacing w:line="360" w:lineRule="auto"/>
        <w:ind w:firstLine="480" w:firstLineChars="200"/>
        <w:rPr>
          <w:sz w:val="24"/>
          <w:szCs w:val="24"/>
        </w:rPr>
      </w:pPr>
      <w:r>
        <w:rPr>
          <w:rFonts w:hint="eastAsia"/>
          <w:sz w:val="24"/>
          <w:szCs w:val="24"/>
        </w:rPr>
        <w:t>上述标准、规范等以国家及地方最新颁布的版本为准 。</w:t>
      </w:r>
    </w:p>
    <w:p>
      <w:pPr>
        <w:spacing w:line="360" w:lineRule="auto"/>
        <w:rPr>
          <w:sz w:val="24"/>
          <w:szCs w:val="24"/>
        </w:rPr>
      </w:pPr>
      <w:r>
        <w:rPr>
          <w:rFonts w:hint="eastAsia"/>
          <w:b/>
          <w:bCs/>
          <w:sz w:val="24"/>
          <w:szCs w:val="24"/>
        </w:rPr>
        <w:t xml:space="preserve">6、本合同适用的其他规范性文件包括: </w:t>
      </w:r>
      <w:r>
        <w:rPr>
          <w:rFonts w:hint="eastAsia"/>
          <w:sz w:val="24"/>
          <w:szCs w:val="24"/>
        </w:rPr>
        <w:t xml:space="preserve"> 住建部发布的</w:t>
      </w:r>
      <w:r>
        <w:rPr>
          <w:sz w:val="24"/>
          <w:szCs w:val="24"/>
        </w:rPr>
        <w:t>《建筑工程施工发包与承包计价管理办法》</w:t>
      </w:r>
      <w:r>
        <w:rPr>
          <w:rFonts w:hint="eastAsia"/>
          <w:sz w:val="24"/>
          <w:szCs w:val="24"/>
        </w:rPr>
        <w:t>、国家标准《</w:t>
      </w:r>
      <w:r>
        <w:rPr>
          <w:sz w:val="24"/>
          <w:szCs w:val="24"/>
        </w:rPr>
        <w:t>建设工程工程量清单计价规范</w:t>
      </w:r>
      <w:r>
        <w:rPr>
          <w:rFonts w:hint="eastAsia"/>
          <w:sz w:val="24"/>
          <w:szCs w:val="24"/>
        </w:rPr>
        <w:t>》（</w:t>
      </w:r>
      <w:r>
        <w:rPr>
          <w:sz w:val="24"/>
          <w:szCs w:val="24"/>
        </w:rPr>
        <w:t>GB50500-20</w:t>
      </w:r>
      <w:r>
        <w:rPr>
          <w:rFonts w:hint="eastAsia"/>
          <w:sz w:val="24"/>
          <w:szCs w:val="24"/>
        </w:rPr>
        <w:t>13）、国家标准《房屋建筑与装饰工程工程量计算规范》（GB50854-2013）、国家标准《通用安装工程工程量计算规范》（GB50856-2013）、《河南省房屋建筑与装饰工程预算定额》（HA 01-31-2016）、《河南省通用安装工程预算定额》（HA02-31-2016）、《河南省市政工程预算定额（HA A1-31-2016）》、河南省园林工程工程量清单综合单价(2008)、</w:t>
      </w:r>
      <w:r>
        <w:rPr>
          <w:sz w:val="24"/>
          <w:szCs w:val="24"/>
        </w:rPr>
        <w:t>《建设工程造价咨询成果文件质量标准》</w:t>
      </w:r>
      <w:r>
        <w:rPr>
          <w:rFonts w:hint="eastAsia"/>
          <w:sz w:val="24"/>
          <w:szCs w:val="24"/>
        </w:rPr>
        <w:t>（CECA/GC  7-2012）。</w:t>
      </w:r>
    </w:p>
    <w:p>
      <w:pPr>
        <w:spacing w:line="360" w:lineRule="auto"/>
        <w:ind w:firstLine="480" w:firstLineChars="200"/>
        <w:rPr>
          <w:sz w:val="24"/>
          <w:szCs w:val="24"/>
        </w:rPr>
      </w:pPr>
      <w:r>
        <w:rPr>
          <w:rFonts w:hint="eastAsia"/>
          <w:sz w:val="24"/>
          <w:szCs w:val="24"/>
        </w:rPr>
        <w:t>上述标准、规范、定额等以国家及省级最新颁布的版本为准。</w:t>
      </w:r>
    </w:p>
    <w:p>
      <w:pPr>
        <w:rPr>
          <w:rFonts w:ascii="宋体" w:hAnsi="宋体"/>
          <w:sz w:val="36"/>
          <w:szCs w:val="36"/>
        </w:rPr>
      </w:pPr>
    </w:p>
    <w:p>
      <w:pPr>
        <w:rPr>
          <w:rFonts w:ascii="宋体" w:hAnsi="宋体"/>
          <w:sz w:val="36"/>
          <w:szCs w:val="36"/>
        </w:rPr>
      </w:pPr>
      <w:r>
        <w:rPr>
          <w:rFonts w:hint="eastAsia" w:ascii="宋体" w:hAnsi="宋体"/>
          <w:sz w:val="36"/>
          <w:szCs w:val="36"/>
        </w:rPr>
        <w:br w:type="page"/>
      </w:r>
    </w:p>
    <w:p>
      <w:pPr>
        <w:pStyle w:val="3"/>
        <w:jc w:val="center"/>
        <w:rPr>
          <w:rFonts w:ascii="宋体" w:hAnsi="宋体"/>
          <w:sz w:val="36"/>
          <w:szCs w:val="36"/>
        </w:rPr>
      </w:pPr>
      <w:r>
        <w:rPr>
          <w:rFonts w:hint="eastAsia" w:ascii="宋体" w:hAnsi="宋体"/>
          <w:sz w:val="36"/>
          <w:szCs w:val="36"/>
        </w:rPr>
        <w:t>第六章 投标文件格式</w:t>
      </w:r>
      <w:bookmarkEnd w:id="335"/>
      <w:bookmarkEnd w:id="336"/>
      <w:bookmarkEnd w:id="337"/>
    </w:p>
    <w:p>
      <w:pPr>
        <w:spacing w:line="360" w:lineRule="auto"/>
        <w:ind w:firstLine="643" w:firstLineChars="200"/>
        <w:jc w:val="center"/>
        <w:rPr>
          <w:rFonts w:ascii="宋体" w:hAnsi="宋体"/>
          <w:b/>
          <w:sz w:val="32"/>
        </w:rPr>
      </w:pPr>
    </w:p>
    <w:p>
      <w:pPr>
        <w:spacing w:line="360" w:lineRule="auto"/>
        <w:ind w:firstLine="643" w:firstLineChars="200"/>
        <w:jc w:val="center"/>
        <w:rPr>
          <w:rFonts w:ascii="宋体" w:hAnsi="宋体"/>
          <w:b/>
          <w:sz w:val="32"/>
        </w:rPr>
      </w:pPr>
    </w:p>
    <w:p>
      <w:pPr>
        <w:rPr>
          <w:rFonts w:ascii="宋体" w:hAnsi="宋体"/>
          <w:bCs/>
          <w:sz w:val="36"/>
          <w:szCs w:val="36"/>
        </w:rPr>
      </w:pPr>
      <w:bookmarkStart w:id="338" w:name="_Toc23678"/>
      <w:bookmarkStart w:id="339" w:name="_Hlk479666243"/>
      <w:r>
        <w:rPr>
          <w:rFonts w:hint="eastAsia" w:ascii="宋体" w:hAnsi="宋体"/>
          <w:bCs/>
          <w:sz w:val="36"/>
          <w:szCs w:val="36"/>
        </w:rPr>
        <w:br w:type="page"/>
      </w:r>
    </w:p>
    <w:bookmarkEnd w:id="338"/>
    <w:p>
      <w:pPr>
        <w:jc w:val="center"/>
        <w:rPr>
          <w:b/>
          <w:bCs/>
          <w:sz w:val="72"/>
          <w:szCs w:val="72"/>
        </w:rPr>
      </w:pPr>
      <w:bookmarkStart w:id="340" w:name="_Toc4065"/>
    </w:p>
    <w:p>
      <w:pPr>
        <w:jc w:val="center"/>
        <w:rPr>
          <w:b/>
          <w:bCs/>
          <w:sz w:val="72"/>
          <w:szCs w:val="72"/>
        </w:rPr>
      </w:pPr>
      <w:r>
        <w:rPr>
          <w:rFonts w:hint="eastAsia"/>
          <w:b/>
          <w:bCs/>
          <w:sz w:val="72"/>
          <w:szCs w:val="72"/>
        </w:rPr>
        <w:t>投标文件</w:t>
      </w:r>
      <w:bookmarkEnd w:id="340"/>
    </w:p>
    <w:p>
      <w:pPr>
        <w:rPr>
          <w:sz w:val="28"/>
          <w:szCs w:val="28"/>
        </w:rPr>
      </w:pPr>
    </w:p>
    <w:p>
      <w:pPr>
        <w:rPr>
          <w:b/>
          <w:bCs/>
          <w:sz w:val="28"/>
          <w:szCs w:val="28"/>
        </w:rPr>
      </w:pPr>
      <w:r>
        <w:rPr>
          <w:rFonts w:hint="eastAsia"/>
          <w:b/>
          <w:bCs/>
          <w:sz w:val="28"/>
          <w:szCs w:val="28"/>
        </w:rPr>
        <w:t>项目名称：</w:t>
      </w:r>
    </w:p>
    <w:p>
      <w:pPr>
        <w:rPr>
          <w:b/>
          <w:bCs/>
          <w:sz w:val="28"/>
          <w:szCs w:val="28"/>
        </w:rPr>
      </w:pPr>
      <w:r>
        <w:rPr>
          <w:rFonts w:hint="eastAsia"/>
          <w:b/>
          <w:bCs/>
          <w:sz w:val="28"/>
          <w:szCs w:val="28"/>
        </w:rPr>
        <w:t>采购编号：</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bookmarkEnd w:id="339"/>
    <w:p>
      <w:pPr>
        <w:rPr>
          <w:b/>
          <w:bCs/>
          <w:sz w:val="28"/>
          <w:szCs w:val="28"/>
        </w:rPr>
      </w:pPr>
      <w:bookmarkStart w:id="341" w:name="_Toc2992"/>
      <w:bookmarkStart w:id="342" w:name="_Toc410113764"/>
      <w:bookmarkStart w:id="343" w:name="_Toc410113696"/>
      <w:bookmarkStart w:id="344" w:name="_Toc184635137"/>
      <w:r>
        <w:rPr>
          <w:rFonts w:hint="eastAsia"/>
          <w:b/>
          <w:bCs/>
          <w:sz w:val="28"/>
          <w:szCs w:val="28"/>
        </w:rPr>
        <w:t>投标单位（企业电子签章） ：</w:t>
      </w:r>
      <w:bookmarkEnd w:id="341"/>
    </w:p>
    <w:p>
      <w:pPr>
        <w:rPr>
          <w:b/>
          <w:bCs/>
          <w:sz w:val="28"/>
          <w:szCs w:val="28"/>
        </w:rPr>
      </w:pPr>
      <w:bookmarkStart w:id="345" w:name="_Toc3855"/>
      <w:r>
        <w:rPr>
          <w:rFonts w:hint="eastAsia"/>
          <w:b/>
          <w:bCs/>
          <w:sz w:val="28"/>
          <w:szCs w:val="28"/>
        </w:rPr>
        <w:t>法定代表人（电子签章）：</w:t>
      </w:r>
      <w:bookmarkEnd w:id="345"/>
    </w:p>
    <w:p>
      <w:pPr>
        <w:rPr>
          <w:b/>
          <w:bCs/>
          <w:sz w:val="28"/>
          <w:szCs w:val="28"/>
        </w:rPr>
      </w:pPr>
      <w:bookmarkStart w:id="346" w:name="_Toc13949"/>
      <w:r>
        <w:rPr>
          <w:rFonts w:hint="eastAsia"/>
          <w:b/>
          <w:bCs/>
          <w:sz w:val="28"/>
          <w:szCs w:val="28"/>
        </w:rPr>
        <w:t>日    期：</w:t>
      </w:r>
      <w:bookmarkEnd w:id="346"/>
    </w:p>
    <w:p>
      <w:pPr>
        <w:spacing w:line="360" w:lineRule="auto"/>
        <w:jc w:val="center"/>
        <w:rPr>
          <w:rFonts w:ascii="宋体" w:hAnsi="宋体"/>
          <w:sz w:val="28"/>
        </w:rPr>
      </w:pPr>
    </w:p>
    <w:p>
      <w:pPr>
        <w:pStyle w:val="2"/>
        <w:bidi w:val="0"/>
        <w:rPr>
          <w:rFonts w:ascii="宋体" w:hAnsi="宋体"/>
        </w:rPr>
      </w:pPr>
      <w:r>
        <w:rPr>
          <w:rFonts w:ascii="宋体" w:hAnsi="宋体"/>
          <w:sz w:val="28"/>
        </w:rPr>
        <w:br w:type="page"/>
      </w:r>
      <w:bookmarkEnd w:id="342"/>
      <w:bookmarkEnd w:id="343"/>
      <w:bookmarkEnd w:id="344"/>
      <w:bookmarkStart w:id="347" w:name="_Toc4743"/>
      <w:bookmarkStart w:id="348" w:name="_Toc410113765"/>
      <w:bookmarkStart w:id="349" w:name="_Toc184635138"/>
      <w:bookmarkStart w:id="350" w:name="_Toc10620090"/>
      <w:bookmarkStart w:id="351" w:name="_Toc10692"/>
      <w:r>
        <w:rPr>
          <w:rFonts w:hint="eastAsia" w:ascii="宋体" w:hAnsi="宋体"/>
          <w:sz w:val="32"/>
          <w:szCs w:val="22"/>
        </w:rPr>
        <w:t>一、投标函及投标函附录</w:t>
      </w:r>
      <w:bookmarkEnd w:id="347"/>
      <w:bookmarkEnd w:id="348"/>
      <w:bookmarkEnd w:id="349"/>
      <w:bookmarkEnd w:id="350"/>
      <w:bookmarkEnd w:id="351"/>
    </w:p>
    <w:p>
      <w:pPr>
        <w:pStyle w:val="4"/>
        <w:jc w:val="center"/>
        <w:rPr>
          <w:rFonts w:ascii="宋体" w:hAnsi="宋体"/>
        </w:rPr>
      </w:pPr>
      <w:bookmarkStart w:id="352" w:name="_Toc10620091"/>
      <w:bookmarkStart w:id="353" w:name="_Toc11912"/>
      <w:bookmarkStart w:id="354" w:name="_Toc10523"/>
      <w:bookmarkStart w:id="355" w:name="_Toc26449"/>
      <w:bookmarkStart w:id="356" w:name="_Toc15879"/>
      <w:r>
        <w:rPr>
          <w:rFonts w:hint="eastAsia" w:ascii="宋体" w:hAnsi="宋体"/>
        </w:rPr>
        <w:t>（一）投标函</w:t>
      </w:r>
      <w:bookmarkEnd w:id="352"/>
      <w:bookmarkEnd w:id="353"/>
      <w:bookmarkEnd w:id="354"/>
      <w:bookmarkEnd w:id="355"/>
      <w:bookmarkEnd w:id="356"/>
    </w:p>
    <w:p>
      <w:pPr>
        <w:spacing w:line="360" w:lineRule="auto"/>
        <w:ind w:firstLine="420" w:firstLineChars="200"/>
        <w:rPr>
          <w:rFonts w:ascii="宋体" w:hAnsi="宋体"/>
        </w:rPr>
      </w:pPr>
    </w:p>
    <w:p>
      <w:pPr>
        <w:spacing w:line="360" w:lineRule="auto"/>
        <w:rPr>
          <w:rFonts w:ascii="宋体" w:hAnsi="宋体"/>
          <w:szCs w:val="21"/>
        </w:rPr>
      </w:pPr>
      <w:r>
        <w:rPr>
          <w:rFonts w:hint="eastAsia" w:ascii="宋体" w:hAnsi="宋体" w:cs="宋体"/>
          <w:bCs/>
          <w:szCs w:val="21"/>
          <w:u w:val="single"/>
        </w:rPr>
        <w:t xml:space="preserve">（采购人名称）          </w:t>
      </w:r>
      <w:r>
        <w:rPr>
          <w:rFonts w:hint="eastAsia" w:ascii="宋体" w:hAnsi="宋体"/>
          <w:szCs w:val="21"/>
          <w:u w:val="single"/>
        </w:rPr>
        <w:t>:</w:t>
      </w:r>
    </w:p>
    <w:p>
      <w:pPr>
        <w:spacing w:line="480" w:lineRule="auto"/>
        <w:ind w:firstLine="420" w:firstLineChars="200"/>
        <w:rPr>
          <w:rFonts w:ascii="宋体" w:hAnsi="宋体"/>
          <w:szCs w:val="21"/>
        </w:rPr>
      </w:pPr>
      <w:r>
        <w:rPr>
          <w:rFonts w:hint="eastAsia" w:ascii="宋体" w:hAnsi="宋体"/>
          <w:szCs w:val="21"/>
        </w:rPr>
        <w:t>1.我方己仔细研究了</w:t>
      </w:r>
      <w:r>
        <w:rPr>
          <w:rFonts w:hint="eastAsia" w:ascii="宋体" w:hAnsi="宋体"/>
          <w:szCs w:val="21"/>
          <w:u w:val="single"/>
        </w:rPr>
        <w:t>（项目</w:t>
      </w:r>
      <w:r>
        <w:rPr>
          <w:rFonts w:ascii="宋体" w:hAnsi="宋体"/>
          <w:szCs w:val="21"/>
          <w:u w:val="single"/>
        </w:rPr>
        <w:t>名称</w:t>
      </w:r>
      <w:r>
        <w:rPr>
          <w:rFonts w:hint="eastAsia" w:ascii="宋体" w:hAnsi="宋体"/>
          <w:szCs w:val="21"/>
          <w:u w:val="single"/>
        </w:rPr>
        <w:t xml:space="preserve">）      </w:t>
      </w:r>
      <w:r>
        <w:rPr>
          <w:rFonts w:hint="eastAsia" w:ascii="宋体" w:hAnsi="宋体"/>
          <w:szCs w:val="21"/>
        </w:rPr>
        <w:t>招标文件的全部内容，针对该项目的投标总报价为人民币（大写）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（姓名）       </w:t>
      </w:r>
      <w:r>
        <w:rPr>
          <w:rFonts w:hint="eastAsia" w:ascii="宋体" w:hAnsi="宋体"/>
          <w:szCs w:val="21"/>
        </w:rPr>
        <w:t>经正式授权并代表投标人</w:t>
      </w:r>
      <w:r>
        <w:rPr>
          <w:rFonts w:hint="eastAsia" w:ascii="宋体" w:hAnsi="宋体"/>
          <w:szCs w:val="21"/>
          <w:u w:val="single"/>
        </w:rPr>
        <w:t xml:space="preserve">（投标人名称、地址）        </w:t>
      </w:r>
      <w:r>
        <w:rPr>
          <w:rFonts w:hint="eastAsia" w:ascii="宋体" w:hAnsi="宋体"/>
          <w:szCs w:val="21"/>
        </w:rPr>
        <w:t>，提交招标文件要求的全套投标文件。</w:t>
      </w:r>
    </w:p>
    <w:p>
      <w:pPr>
        <w:spacing w:line="480" w:lineRule="auto"/>
        <w:ind w:firstLine="420" w:firstLineChars="200"/>
        <w:rPr>
          <w:rFonts w:ascii="宋体" w:hAnsi="宋体"/>
          <w:szCs w:val="21"/>
        </w:rPr>
      </w:pPr>
      <w:r>
        <w:rPr>
          <w:rFonts w:hint="eastAsia" w:ascii="宋体" w:hAnsi="宋体"/>
          <w:szCs w:val="21"/>
        </w:rPr>
        <w:t>2．我方承诺在投标有效期内不修改、撤销投标文件。</w:t>
      </w:r>
    </w:p>
    <w:p>
      <w:pPr>
        <w:spacing w:line="480" w:lineRule="auto"/>
        <w:ind w:firstLine="420" w:firstLineChars="200"/>
        <w:rPr>
          <w:rFonts w:ascii="宋体" w:hAnsi="宋体"/>
          <w:szCs w:val="21"/>
        </w:rPr>
      </w:pPr>
      <w:r>
        <w:rPr>
          <w:rFonts w:hint="eastAsia" w:ascii="宋体" w:hAnsi="宋体"/>
          <w:szCs w:val="21"/>
        </w:rPr>
        <w:t>3．如我方中标：</w:t>
      </w:r>
    </w:p>
    <w:p>
      <w:pPr>
        <w:spacing w:line="480" w:lineRule="auto"/>
        <w:ind w:firstLine="420" w:firstLineChars="200"/>
        <w:rPr>
          <w:rFonts w:ascii="宋体" w:hAnsi="宋体"/>
          <w:szCs w:val="21"/>
        </w:rPr>
      </w:pPr>
      <w:r>
        <w:rPr>
          <w:rFonts w:hint="eastAsia" w:ascii="宋体" w:hAnsi="宋体"/>
          <w:szCs w:val="21"/>
        </w:rPr>
        <w:t>(l）我方承诺在收到中标通知书后，在中标通知书规定的期限内与你方签订合同。</w:t>
      </w:r>
    </w:p>
    <w:p>
      <w:pPr>
        <w:spacing w:line="480" w:lineRule="auto"/>
        <w:ind w:firstLine="420" w:firstLineChars="200"/>
        <w:rPr>
          <w:rFonts w:ascii="宋体" w:hAnsi="宋体"/>
          <w:szCs w:val="21"/>
        </w:rPr>
      </w:pPr>
      <w:r>
        <w:rPr>
          <w:rFonts w:hint="eastAsia" w:ascii="宋体" w:hAnsi="宋体"/>
          <w:szCs w:val="21"/>
        </w:rPr>
        <w:t>(2）随同本投标函递交的投标函附录属于合同文件的组成部分。</w:t>
      </w:r>
    </w:p>
    <w:p>
      <w:pPr>
        <w:spacing w:line="480" w:lineRule="auto"/>
        <w:ind w:firstLine="420" w:firstLineChars="200"/>
        <w:rPr>
          <w:rFonts w:ascii="宋体" w:hAnsi="宋体"/>
          <w:szCs w:val="21"/>
        </w:rPr>
      </w:pPr>
      <w:r>
        <w:rPr>
          <w:rFonts w:hint="eastAsia" w:ascii="宋体" w:hAnsi="宋体"/>
          <w:szCs w:val="21"/>
        </w:rPr>
        <w:t>(3）我方承诺按照招标文件规定向你方递交履约担保。</w:t>
      </w:r>
    </w:p>
    <w:p>
      <w:pPr>
        <w:spacing w:line="480" w:lineRule="auto"/>
        <w:ind w:firstLine="420" w:firstLineChars="200"/>
        <w:rPr>
          <w:rFonts w:ascii="宋体" w:hAnsi="宋体"/>
          <w:szCs w:val="21"/>
        </w:rPr>
      </w:pPr>
      <w:r>
        <w:rPr>
          <w:rFonts w:hint="eastAsia" w:ascii="宋体" w:hAnsi="宋体"/>
          <w:szCs w:val="21"/>
        </w:rPr>
        <w:t>(4）我方承诺在合同约定的期限内完成合同约定内容。</w:t>
      </w:r>
    </w:p>
    <w:p>
      <w:pPr>
        <w:spacing w:line="480" w:lineRule="auto"/>
        <w:ind w:firstLine="420" w:firstLineChars="200"/>
        <w:rPr>
          <w:rFonts w:ascii="宋体" w:hAnsi="宋体"/>
          <w:szCs w:val="21"/>
        </w:rPr>
      </w:pPr>
      <w:r>
        <w:rPr>
          <w:rFonts w:hint="eastAsia" w:ascii="宋体" w:hAnsi="宋体"/>
          <w:szCs w:val="21"/>
        </w:rPr>
        <w:t>(5）我方承诺按招标文件载明的金额向代理机构支付招标服务费</w:t>
      </w:r>
    </w:p>
    <w:p>
      <w:pPr>
        <w:spacing w:line="480" w:lineRule="auto"/>
        <w:ind w:firstLine="420" w:firstLineChars="200"/>
        <w:rPr>
          <w:rFonts w:ascii="宋体" w:hAnsi="宋体"/>
          <w:szCs w:val="21"/>
        </w:rPr>
      </w:pPr>
      <w:r>
        <w:rPr>
          <w:rFonts w:hint="eastAsia" w:ascii="宋体" w:hAnsi="宋体"/>
          <w:szCs w:val="21"/>
        </w:rPr>
        <w:t>4．我方在此声明，所递交的投标文件及有关资料内容完整、真实和准确</w:t>
      </w:r>
    </w:p>
    <w:p>
      <w:pPr>
        <w:spacing w:line="480" w:lineRule="auto"/>
        <w:ind w:firstLine="420" w:firstLineChars="200"/>
        <w:rPr>
          <w:rFonts w:ascii="宋体" w:hAnsi="宋体"/>
          <w:szCs w:val="21"/>
        </w:rPr>
      </w:pPr>
      <w:r>
        <w:rPr>
          <w:rFonts w:hint="eastAsia" w:ascii="宋体" w:hAnsi="宋体"/>
          <w:szCs w:val="21"/>
        </w:rPr>
        <w:t>5.</w:t>
      </w:r>
      <w:r>
        <w:rPr>
          <w:rFonts w:hint="eastAsia" w:ascii="宋体" w:hAnsi="宋体"/>
          <w:szCs w:val="21"/>
          <w:u w:val="single"/>
        </w:rPr>
        <w:t xml:space="preserve">                    (其他补充说明)。</w:t>
      </w:r>
    </w:p>
    <w:p>
      <w:pPr>
        <w:pStyle w:val="4"/>
        <w:numPr>
          <w:ilvl w:val="0"/>
          <w:numId w:val="6"/>
        </w:numPr>
        <w:jc w:val="center"/>
        <w:rPr>
          <w:rFonts w:ascii="宋体" w:hAnsi="宋体"/>
          <w:sz w:val="30"/>
        </w:rPr>
      </w:pPr>
      <w:bookmarkStart w:id="357" w:name="_Toc2792"/>
      <w:bookmarkStart w:id="358" w:name="_Toc9997"/>
      <w:bookmarkStart w:id="359" w:name="_Toc16483"/>
      <w:r>
        <w:rPr>
          <w:rFonts w:ascii="宋体" w:hAnsi="宋体"/>
          <w:b w:val="0"/>
          <w:sz w:val="21"/>
        </w:rPr>
        <w:br w:type="page"/>
      </w:r>
      <w:bookmarkStart w:id="360" w:name="_Toc30945"/>
      <w:bookmarkStart w:id="361" w:name="_Toc10620092"/>
      <w:r>
        <w:rPr>
          <w:rFonts w:hint="eastAsia" w:ascii="宋体" w:hAnsi="宋体"/>
          <w:sz w:val="30"/>
        </w:rPr>
        <w:t>投标函附录</w:t>
      </w:r>
      <w:bookmarkEnd w:id="357"/>
      <w:bookmarkEnd w:id="358"/>
      <w:bookmarkEnd w:id="359"/>
      <w:bookmarkEnd w:id="360"/>
      <w:bookmarkEnd w:id="361"/>
    </w:p>
    <w:tbl>
      <w:tblPr>
        <w:tblStyle w:val="31"/>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7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bookmarkStart w:id="362" w:name="_Toc410113766"/>
            <w:bookmarkStart w:id="363" w:name="_Toc184635139"/>
            <w:r>
              <w:rPr>
                <w:rFonts w:hint="eastAsia" w:ascii="宋体" w:hAnsi="宋体" w:cs="Calibri"/>
                <w:szCs w:val="21"/>
              </w:rPr>
              <w:t>项目名称</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center"/>
              <w:rPr>
                <w:rFonts w:hint="eastAsia" w:ascii="宋体" w:hAnsi="宋体" w:eastAsia="宋体" w:cs="Calibri"/>
                <w:szCs w:val="21"/>
                <w:lang w:eastAsia="zh-CN"/>
              </w:rPr>
            </w:pPr>
            <w:r>
              <w:rPr>
                <w:rFonts w:hint="eastAsia" w:ascii="宋体" w:hAnsi="宋体" w:cs="Calibri"/>
                <w:szCs w:val="21"/>
                <w:lang w:eastAsia="zh-CN"/>
              </w:rPr>
              <w:t>平顶山市中医医院中医药传承创新大楼（三号病房楼）建设项目全过程造价咨询服务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94" w:type="dxa"/>
            <w:vMerge w:val="restart"/>
            <w:tcBorders>
              <w:top w:val="nil"/>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u w:val="single"/>
              </w:rPr>
            </w:pPr>
            <w:r>
              <w:rPr>
                <w:rFonts w:hint="eastAsia" w:ascii="宋体" w:hAnsi="宋体" w:cs="Calibri"/>
                <w:szCs w:val="21"/>
              </w:rPr>
              <w:t>投标总报价</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Calibri"/>
                <w:b/>
                <w:bCs/>
                <w:szCs w:val="21"/>
              </w:rPr>
            </w:pPr>
            <w:r>
              <w:rPr>
                <w:rFonts w:hint="eastAsia" w:ascii="宋体" w:hAnsi="宋体" w:cs="Calibri"/>
                <w:szCs w:val="21"/>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99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Calibri"/>
                <w:szCs w:val="21"/>
                <w:u w:val="single"/>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rPr>
                <w:rFonts w:ascii="宋体" w:hAnsi="宋体" w:cs="Calibri"/>
                <w:szCs w:val="21"/>
              </w:rPr>
            </w:pPr>
            <w:r>
              <w:rPr>
                <w:rFonts w:hint="eastAsia" w:ascii="宋体" w:hAnsi="宋体"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restart"/>
            <w:tcBorders>
              <w:top w:val="single" w:color="auto" w:sz="4" w:space="0"/>
              <w:left w:val="single" w:color="auto" w:sz="4" w:space="0"/>
              <w:right w:val="single" w:color="auto" w:sz="4" w:space="0"/>
            </w:tcBorders>
            <w:vAlign w:val="center"/>
          </w:tcPr>
          <w:p>
            <w:pPr>
              <w:pStyle w:val="47"/>
              <w:ind w:left="19"/>
              <w:jc w:val="center"/>
              <w:rPr>
                <w:rFonts w:cs="Calibri"/>
                <w:b/>
                <w:bCs/>
                <w:sz w:val="21"/>
                <w:szCs w:val="21"/>
              </w:rPr>
            </w:pPr>
            <w:r>
              <w:rPr>
                <w:rFonts w:hint="eastAsia"/>
                <w:kern w:val="2"/>
                <w:sz w:val="21"/>
                <w:szCs w:val="21"/>
              </w:rPr>
              <w:t>项目负责人</w:t>
            </w:r>
          </w:p>
        </w:tc>
        <w:tc>
          <w:tcPr>
            <w:tcW w:w="7166" w:type="dxa"/>
            <w:tcBorders>
              <w:top w:val="single" w:color="auto" w:sz="4" w:space="0"/>
              <w:left w:val="nil"/>
              <w:bottom w:val="single" w:color="auto" w:sz="4" w:space="0"/>
              <w:right w:val="single" w:color="auto" w:sz="4" w:space="0"/>
            </w:tcBorders>
            <w:vAlign w:val="center"/>
          </w:tcPr>
          <w:p>
            <w:pPr>
              <w:pStyle w:val="47"/>
              <w:jc w:val="center"/>
              <w:rPr>
                <w:rFonts w:cs="Calibri"/>
                <w:sz w:val="21"/>
                <w:szCs w:val="21"/>
              </w:rPr>
            </w:pPr>
            <w:r>
              <w:rPr>
                <w:rFonts w:hint="eastAsia"/>
                <w:kern w:val="2"/>
                <w:sz w:val="21"/>
                <w:szCs w:val="21"/>
              </w:rPr>
              <w:t>姓名、注册证书编号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994" w:type="dxa"/>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b/>
                <w:bCs/>
                <w:kern w:val="0"/>
                <w:szCs w:val="21"/>
              </w:rPr>
            </w:pP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jc w:val="left"/>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b/>
                <w:bCs/>
                <w:kern w:val="0"/>
                <w:szCs w:val="21"/>
              </w:rPr>
            </w:pPr>
            <w:r>
              <w:rPr>
                <w:rFonts w:hint="eastAsia" w:ascii="宋体" w:hAnsi="宋体" w:cs="Calibri"/>
                <w:szCs w:val="21"/>
              </w:rPr>
              <w:t>服务期限</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服务要求</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Calibri"/>
                <w:szCs w:val="21"/>
              </w:rPr>
            </w:pPr>
            <w:r>
              <w:rPr>
                <w:rFonts w:hint="eastAsia" w:ascii="宋体" w:hAnsi="宋体" w:cs="Calibri"/>
                <w:szCs w:val="21"/>
              </w:rPr>
              <w:t>投标有效期</w:t>
            </w:r>
          </w:p>
        </w:tc>
        <w:tc>
          <w:tcPr>
            <w:tcW w:w="7166" w:type="dxa"/>
            <w:tcBorders>
              <w:top w:val="single" w:color="auto" w:sz="4" w:space="0"/>
              <w:left w:val="nil"/>
              <w:bottom w:val="single" w:color="auto" w:sz="4" w:space="0"/>
              <w:right w:val="single" w:color="auto" w:sz="4" w:space="0"/>
            </w:tcBorders>
            <w:vAlign w:val="center"/>
          </w:tcPr>
          <w:p>
            <w:pPr>
              <w:autoSpaceDE w:val="0"/>
              <w:autoSpaceDN w:val="0"/>
              <w:adjustRightInd w:val="0"/>
              <w:rPr>
                <w:rFonts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3" w:hRule="atLeast"/>
          <w:jc w:val="center"/>
        </w:trPr>
        <w:tc>
          <w:tcPr>
            <w:tcW w:w="91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Cs w:val="21"/>
              </w:rPr>
            </w:pPr>
            <w:r>
              <w:rPr>
                <w:rFonts w:hint="eastAsia" w:ascii="宋体" w:hAnsi="宋体" w:cs="Calibri"/>
                <w:szCs w:val="21"/>
              </w:rPr>
              <w:t>备注：投标人在响应招标文件中规定的实质性要求和条件的基础上，可做出其他有利于采购人的承诺。此类承诺可在本表中予以补充填写。</w:t>
            </w:r>
          </w:p>
        </w:tc>
      </w:tr>
    </w:tbl>
    <w:p>
      <w:pPr>
        <w:spacing w:line="480" w:lineRule="auto"/>
        <w:ind w:firstLine="480" w:firstLineChars="200"/>
        <w:jc w:val="left"/>
        <w:rPr>
          <w:rFonts w:ascii="宋体" w:hAnsi="宋体"/>
          <w:sz w:val="24"/>
          <w:szCs w:val="28"/>
        </w:rPr>
      </w:pPr>
    </w:p>
    <w:p>
      <w:pPr>
        <w:spacing w:line="480" w:lineRule="auto"/>
        <w:ind w:firstLine="480" w:firstLineChars="200"/>
        <w:jc w:val="left"/>
        <w:rPr>
          <w:rFonts w:ascii="宋体" w:hAnsi="宋体"/>
          <w:sz w:val="24"/>
          <w:szCs w:val="28"/>
        </w:rPr>
      </w:pPr>
      <w:r>
        <w:rPr>
          <w:rFonts w:hint="eastAsia" w:ascii="宋体" w:hAnsi="宋体"/>
          <w:sz w:val="24"/>
          <w:szCs w:val="28"/>
        </w:rPr>
        <w:t>投  标  人（企业电子签章）：</w:t>
      </w:r>
    </w:p>
    <w:p>
      <w:pPr>
        <w:spacing w:line="480" w:lineRule="auto"/>
        <w:ind w:right="240" w:firstLine="480" w:firstLineChars="200"/>
        <w:jc w:val="left"/>
        <w:rPr>
          <w:rFonts w:ascii="宋体" w:hAnsi="宋体"/>
          <w:sz w:val="24"/>
          <w:szCs w:val="28"/>
          <w:u w:val="single"/>
        </w:rPr>
      </w:pPr>
      <w:r>
        <w:rPr>
          <w:rFonts w:hint="eastAsia" w:ascii="宋体" w:hAnsi="宋体"/>
          <w:sz w:val="24"/>
          <w:szCs w:val="28"/>
        </w:rPr>
        <w:t>法定代表人（电子签章）：</w:t>
      </w:r>
    </w:p>
    <w:p>
      <w:pPr>
        <w:spacing w:line="480" w:lineRule="auto"/>
        <w:ind w:right="240" w:firstLine="480" w:firstLineChars="200"/>
        <w:jc w:val="left"/>
        <w:rPr>
          <w:rFonts w:ascii="宋体" w:hAnsi="宋体"/>
          <w:sz w:val="24"/>
          <w:szCs w:val="28"/>
        </w:rPr>
        <w:sectPr>
          <w:footerReference r:id="rId4" w:type="default"/>
          <w:pgSz w:w="11906" w:h="16838"/>
          <w:pgMar w:top="1418" w:right="1134" w:bottom="1418" w:left="1134" w:header="851" w:footer="992" w:gutter="0"/>
          <w:cols w:space="720" w:num="1"/>
          <w:docGrid w:type="lines" w:linePitch="312" w:charSpace="0"/>
        </w:sectPr>
      </w:pPr>
      <w:r>
        <w:rPr>
          <w:rFonts w:hint="eastAsia" w:ascii="宋体" w:hAnsi="宋体"/>
          <w:sz w:val="24"/>
          <w:szCs w:val="28"/>
        </w:rPr>
        <w:t>年  月  日</w:t>
      </w:r>
      <w:bookmarkStart w:id="364" w:name="_Toc10620093"/>
      <w:bookmarkStart w:id="365" w:name="_Toc22696"/>
    </w:p>
    <w:p>
      <w:pPr>
        <w:pStyle w:val="2"/>
        <w:jc w:val="center"/>
        <w:rPr>
          <w:rFonts w:ascii="宋体" w:hAnsi="宋体" w:eastAsia="宋体"/>
          <w:szCs w:val="22"/>
        </w:rPr>
      </w:pPr>
      <w:bookmarkStart w:id="366" w:name="_Toc30946"/>
      <w:r>
        <w:rPr>
          <w:rFonts w:hint="eastAsia" w:ascii="宋体" w:hAnsi="宋体" w:eastAsia="宋体"/>
          <w:szCs w:val="22"/>
        </w:rPr>
        <w:t>二、</w:t>
      </w:r>
      <w:bookmarkEnd w:id="362"/>
      <w:bookmarkEnd w:id="363"/>
      <w:bookmarkEnd w:id="364"/>
      <w:bookmarkEnd w:id="365"/>
      <w:r>
        <w:rPr>
          <w:rFonts w:hint="eastAsia" w:ascii="宋体" w:hAnsi="宋体" w:eastAsia="宋体"/>
          <w:szCs w:val="22"/>
        </w:rPr>
        <w:t>法定代表人身份证明或附有法定代表人身份证明的授权委托书</w:t>
      </w:r>
      <w:bookmarkEnd w:id="366"/>
    </w:p>
    <w:p>
      <w:pPr>
        <w:spacing w:line="360" w:lineRule="auto"/>
        <w:ind w:firstLine="420" w:firstLineChars="200"/>
        <w:rPr>
          <w:rFonts w:ascii="宋体" w:hAnsi="宋体"/>
        </w:rPr>
      </w:pPr>
    </w:p>
    <w:p>
      <w:pPr>
        <w:pStyle w:val="4"/>
        <w:jc w:val="center"/>
        <w:rPr>
          <w:rFonts w:ascii="宋体" w:hAnsi="宋体"/>
          <w:szCs w:val="22"/>
        </w:rPr>
      </w:pPr>
      <w:bookmarkStart w:id="367" w:name="_Toc15844"/>
      <w:bookmarkStart w:id="368" w:name="_Toc8579"/>
      <w:r>
        <w:rPr>
          <w:rFonts w:hint="eastAsia" w:ascii="宋体" w:hAnsi="宋体"/>
          <w:szCs w:val="22"/>
        </w:rPr>
        <w:t>（一）法定代表人身份证明</w:t>
      </w:r>
      <w:bookmarkEnd w:id="367"/>
    </w:p>
    <w:p>
      <w:r>
        <w:rPr>
          <w:rFonts w:hint="eastAsia"/>
        </w:rPr>
        <w:t>投标人</w:t>
      </w:r>
      <w:r>
        <w:t>名称：</w:t>
      </w:r>
      <w:bookmarkEnd w:id="368"/>
      <w:r>
        <w:rPr>
          <w:rFonts w:hint="eastAsia"/>
        </w:rPr>
        <w:t xml:space="preserve">    </w:t>
      </w:r>
    </w:p>
    <w:p>
      <w:bookmarkStart w:id="369" w:name="_Toc14157"/>
      <w:r>
        <w:t>单位性质：</w:t>
      </w:r>
      <w:bookmarkEnd w:id="369"/>
      <w:r>
        <w:rPr>
          <w:rFonts w:hint="eastAsia"/>
        </w:rPr>
        <w:t xml:space="preserve">    </w:t>
      </w:r>
    </w:p>
    <w:p>
      <w:bookmarkStart w:id="370" w:name="_Toc4625"/>
      <w:r>
        <w:t>地址：</w:t>
      </w:r>
      <w:bookmarkEnd w:id="370"/>
      <w:r>
        <w:rPr>
          <w:rFonts w:hint="eastAsia"/>
        </w:rPr>
        <w:t xml:space="preserve">    </w:t>
      </w:r>
    </w:p>
    <w:p>
      <w:bookmarkStart w:id="371" w:name="_Toc9676"/>
      <w:r>
        <w:t>成立时间：</w:t>
      </w:r>
      <w:r>
        <w:rPr>
          <w:rFonts w:hint="eastAsia"/>
        </w:rPr>
        <w:t xml:space="preserve">    </w:t>
      </w:r>
      <w:r>
        <w:t>年</w:t>
      </w:r>
      <w:r>
        <w:rPr>
          <w:rFonts w:hint="eastAsia"/>
        </w:rPr>
        <w:t xml:space="preserve">      </w:t>
      </w:r>
      <w:r>
        <w:t>月</w:t>
      </w:r>
      <w:r>
        <w:rPr>
          <w:rFonts w:hint="eastAsia"/>
        </w:rPr>
        <w:t xml:space="preserve">       </w:t>
      </w:r>
      <w:r>
        <w:t>日</w:t>
      </w:r>
      <w:bookmarkEnd w:id="371"/>
    </w:p>
    <w:p>
      <w:bookmarkStart w:id="372" w:name="_Toc21817"/>
      <w:r>
        <w:t>经营期限：</w:t>
      </w:r>
      <w:bookmarkEnd w:id="372"/>
    </w:p>
    <w:p>
      <w:bookmarkStart w:id="373" w:name="_Toc17160"/>
      <w:r>
        <w:t>姓名：</w:t>
      </w:r>
      <w:r>
        <w:rPr>
          <w:rFonts w:hint="eastAsia"/>
        </w:rPr>
        <w:t xml:space="preserve">    </w:t>
      </w:r>
      <w:r>
        <w:t xml:space="preserve"> 性别：</w:t>
      </w:r>
      <w:r>
        <w:rPr>
          <w:rFonts w:hint="eastAsia"/>
        </w:rPr>
        <w:t xml:space="preserve">    </w:t>
      </w:r>
      <w:r>
        <w:t xml:space="preserve"> 年龄：</w:t>
      </w:r>
      <w:r>
        <w:rPr>
          <w:rFonts w:hint="eastAsia"/>
        </w:rPr>
        <w:t xml:space="preserve">     </w:t>
      </w:r>
      <w:r>
        <w:t>职务：</w:t>
      </w:r>
      <w:bookmarkEnd w:id="373"/>
    </w:p>
    <w:p>
      <w:bookmarkStart w:id="374" w:name="_Toc4489"/>
      <w:r>
        <w:t>系</w:t>
      </w:r>
      <w:r>
        <w:rPr>
          <w:rFonts w:hint="eastAsia"/>
        </w:rPr>
        <w:t>（投标人</w:t>
      </w:r>
      <w:r>
        <w:t>名称</w:t>
      </w:r>
      <w:r>
        <w:rPr>
          <w:rFonts w:hint="eastAsia"/>
        </w:rPr>
        <w:t xml:space="preserve">）      </w:t>
      </w:r>
      <w:r>
        <w:t>的法定代表人。</w:t>
      </w:r>
      <w:bookmarkEnd w:id="374"/>
    </w:p>
    <w:p>
      <w:bookmarkStart w:id="375" w:name="_Toc31142"/>
      <w:r>
        <w:t>特此证明。</w:t>
      </w:r>
      <w:bookmarkEnd w:id="375"/>
    </w:p>
    <w:p/>
    <w:p>
      <w:bookmarkStart w:id="376" w:name="_Toc13346"/>
      <w:r>
        <w:rPr>
          <w:rFonts w:hint="eastAsia"/>
        </w:rPr>
        <w:t>附：法定代表人身份证复印件。</w:t>
      </w:r>
      <w:bookmarkEnd w:id="376"/>
    </w:p>
    <w:p/>
    <w:p/>
    <w:p/>
    <w:p/>
    <w:p/>
    <w:p>
      <w:r>
        <w:rPr>
          <w:rFonts w:hint="eastAsia"/>
        </w:rPr>
        <w:t>投标人（企业电子签章）：</w:t>
      </w:r>
    </w:p>
    <w:p/>
    <w:p>
      <w:r>
        <w:rPr>
          <w:rFonts w:hint="eastAsia"/>
        </w:rPr>
        <w:t>年  月   日</w:t>
      </w:r>
    </w:p>
    <w:p>
      <w:pPr>
        <w:pStyle w:val="4"/>
        <w:jc w:val="center"/>
        <w:rPr>
          <w:rFonts w:ascii="宋体" w:hAnsi="宋体"/>
          <w:sz w:val="28"/>
        </w:rPr>
      </w:pPr>
      <w:bookmarkStart w:id="377" w:name="_Toc410113767"/>
      <w:bookmarkStart w:id="378" w:name="_Toc184635140"/>
      <w:r>
        <w:rPr>
          <w:rFonts w:ascii="宋体" w:hAnsi="宋体"/>
          <w:sz w:val="28"/>
        </w:rPr>
        <w:br w:type="page"/>
      </w:r>
      <w:bookmarkStart w:id="379" w:name="_Toc4285"/>
      <w:r>
        <w:rPr>
          <w:rFonts w:hint="eastAsia" w:ascii="宋体" w:hAnsi="宋体"/>
          <w:szCs w:val="22"/>
        </w:rPr>
        <w:t>（二）授权委托书</w:t>
      </w:r>
      <w:bookmarkEnd w:id="377"/>
      <w:bookmarkEnd w:id="378"/>
      <w:bookmarkEnd w:id="379"/>
    </w:p>
    <w:p>
      <w:pPr>
        <w:spacing w:line="360" w:lineRule="auto"/>
        <w:ind w:firstLine="420" w:firstLineChars="200"/>
        <w:rPr>
          <w:rFonts w:ascii="宋体" w:hAnsi="宋体"/>
        </w:rPr>
      </w:pPr>
    </w:p>
    <w:p>
      <w:pPr>
        <w:topLinePunct/>
        <w:spacing w:line="440" w:lineRule="exact"/>
        <w:ind w:firstLine="420" w:firstLineChars="200"/>
        <w:rPr>
          <w:szCs w:val="21"/>
        </w:rPr>
      </w:pPr>
      <w:r>
        <w:rPr>
          <w:szCs w:val="21"/>
        </w:rPr>
        <w:t>本人（姓名）</w:t>
      </w:r>
      <w:r>
        <w:rPr>
          <w:rFonts w:hint="eastAsia"/>
          <w:szCs w:val="21"/>
          <w:u w:val="single"/>
        </w:rPr>
        <w:t xml:space="preserve">    </w:t>
      </w:r>
      <w:r>
        <w:rPr>
          <w:szCs w:val="21"/>
        </w:rPr>
        <w:t>系（</w:t>
      </w:r>
      <w:r>
        <w:rPr>
          <w:rFonts w:hint="eastAsia"/>
          <w:szCs w:val="21"/>
        </w:rPr>
        <w:t>投标人</w:t>
      </w:r>
      <w:r>
        <w:rPr>
          <w:szCs w:val="21"/>
        </w:rPr>
        <w:t>名称）</w:t>
      </w:r>
      <w:r>
        <w:rPr>
          <w:rFonts w:hint="eastAsia"/>
          <w:szCs w:val="21"/>
          <w:u w:val="single"/>
        </w:rPr>
        <w:t xml:space="preserve">    </w:t>
      </w:r>
      <w:r>
        <w:rPr>
          <w:szCs w:val="21"/>
        </w:rPr>
        <w:t>的法定代表人，现委托</w:t>
      </w:r>
      <w:r>
        <w:rPr>
          <w:rFonts w:hint="eastAsia"/>
          <w:szCs w:val="21"/>
        </w:rPr>
        <w:t xml:space="preserve"> </w:t>
      </w:r>
      <w:r>
        <w:rPr>
          <w:szCs w:val="21"/>
        </w:rPr>
        <w:t>（姓名）</w:t>
      </w:r>
      <w:r>
        <w:rPr>
          <w:rFonts w:hint="eastAsia"/>
          <w:szCs w:val="21"/>
          <w:u w:val="single"/>
        </w:rPr>
        <w:t xml:space="preserve">    </w:t>
      </w:r>
      <w:r>
        <w:rPr>
          <w:szCs w:val="21"/>
        </w:rPr>
        <w:t>为我方代理人。代理人根据授权，以我方名义签署、澄清</w:t>
      </w:r>
      <w:r>
        <w:rPr>
          <w:rFonts w:hint="eastAsia"/>
          <w:szCs w:val="21"/>
        </w:rPr>
        <w:t>、说明、补正</w:t>
      </w:r>
      <w:r>
        <w:rPr>
          <w:szCs w:val="21"/>
        </w:rPr>
        <w:t>、递交、撤回、修改（项目名称）</w:t>
      </w:r>
      <w:r>
        <w:rPr>
          <w:rFonts w:hint="eastAsia"/>
          <w:szCs w:val="21"/>
          <w:u w:val="single"/>
        </w:rPr>
        <w:t xml:space="preserve">    </w:t>
      </w:r>
      <w:r>
        <w:rPr>
          <w:rFonts w:hint="eastAsia"/>
          <w:szCs w:val="21"/>
        </w:rPr>
        <w:t>的</w:t>
      </w:r>
      <w:r>
        <w:rPr>
          <w:szCs w:val="21"/>
        </w:rPr>
        <w:t>投标文件、签订合同和处理有关事宜，其法律后果由我方承担。</w:t>
      </w:r>
    </w:p>
    <w:p>
      <w:pPr>
        <w:spacing w:line="440" w:lineRule="exact"/>
        <w:rPr>
          <w:szCs w:val="21"/>
        </w:rPr>
      </w:pPr>
      <w:r>
        <w:rPr>
          <w:szCs w:val="21"/>
        </w:rPr>
        <w:t xml:space="preserve">    委托期限：</w:t>
      </w:r>
      <w:r>
        <w:rPr>
          <w:rFonts w:hint="eastAsia"/>
          <w:szCs w:val="21"/>
          <w:u w:val="single"/>
        </w:rPr>
        <w:t xml:space="preserve">    </w:t>
      </w:r>
      <w:r>
        <w:rPr>
          <w:rFonts w:hint="eastAsia"/>
          <w:szCs w:val="21"/>
        </w:rPr>
        <w:t>。</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附：委托代理人的身份证复印件</w:t>
      </w:r>
    </w:p>
    <w:p>
      <w:pPr>
        <w:spacing w:line="440" w:lineRule="exact"/>
        <w:rPr>
          <w:szCs w:val="21"/>
        </w:rPr>
      </w:pPr>
    </w:p>
    <w:p>
      <w:pPr>
        <w:spacing w:line="440" w:lineRule="exact"/>
        <w:rPr>
          <w:szCs w:val="21"/>
        </w:rPr>
      </w:pPr>
    </w:p>
    <w:p>
      <w:pPr>
        <w:spacing w:line="440" w:lineRule="exact"/>
        <w:rPr>
          <w:szCs w:val="21"/>
        </w:rPr>
      </w:pPr>
    </w:p>
    <w:p>
      <w:pPr>
        <w:spacing w:line="480" w:lineRule="auto"/>
        <w:ind w:firstLine="420" w:firstLineChars="200"/>
        <w:jc w:val="left"/>
        <w:rPr>
          <w:rFonts w:ascii="宋体" w:hAnsi="宋体"/>
          <w:szCs w:val="21"/>
        </w:rPr>
      </w:pPr>
      <w:bookmarkStart w:id="380" w:name="_Toc152042582"/>
      <w:bookmarkStart w:id="381" w:name="_Toc247527833"/>
      <w:bookmarkStart w:id="382" w:name="_Toc487117071"/>
      <w:bookmarkStart w:id="383" w:name="_Toc152045793"/>
      <w:bookmarkStart w:id="384" w:name="_Toc247514285"/>
      <w:r>
        <w:rPr>
          <w:rFonts w:hint="eastAsia" w:ascii="宋体" w:hAnsi="宋体"/>
          <w:szCs w:val="21"/>
        </w:rPr>
        <w:t>投  标  人（企业电子签章）：</w:t>
      </w:r>
    </w:p>
    <w:p>
      <w:pPr>
        <w:spacing w:line="480" w:lineRule="auto"/>
        <w:ind w:right="240" w:firstLine="420" w:firstLineChars="200"/>
        <w:jc w:val="left"/>
        <w:rPr>
          <w:rFonts w:ascii="宋体" w:hAnsi="宋体"/>
          <w:szCs w:val="21"/>
          <w:u w:val="single"/>
        </w:rPr>
      </w:pPr>
      <w:r>
        <w:rPr>
          <w:rFonts w:hint="eastAsia" w:ascii="宋体" w:hAnsi="宋体"/>
          <w:szCs w:val="21"/>
        </w:rPr>
        <w:t>法定代表人（电子签章）：</w:t>
      </w:r>
    </w:p>
    <w:p>
      <w:pPr>
        <w:spacing w:line="480" w:lineRule="auto"/>
        <w:ind w:right="240" w:firstLine="840" w:firstLineChars="400"/>
        <w:jc w:val="left"/>
        <w:rPr>
          <w:rFonts w:ascii="宋体" w:hAnsi="宋体"/>
          <w:szCs w:val="21"/>
        </w:rPr>
      </w:pPr>
      <w:r>
        <w:rPr>
          <w:rFonts w:hint="eastAsia" w:ascii="宋体" w:hAnsi="宋体"/>
          <w:szCs w:val="21"/>
        </w:rPr>
        <w:t>年  月  日</w:t>
      </w:r>
    </w:p>
    <w:p>
      <w:pPr>
        <w:pStyle w:val="2"/>
        <w:bidi w:val="0"/>
        <w:rPr>
          <w:rFonts w:ascii="宋体" w:hAnsi="宋体"/>
          <w:sz w:val="32"/>
          <w:szCs w:val="22"/>
        </w:rPr>
      </w:pPr>
      <w:r>
        <w:rPr>
          <w:rFonts w:ascii="宋体" w:hAnsi="宋体"/>
        </w:rPr>
        <w:br w:type="page"/>
      </w:r>
      <w:bookmarkEnd w:id="380"/>
      <w:bookmarkEnd w:id="381"/>
      <w:bookmarkEnd w:id="382"/>
      <w:bookmarkEnd w:id="383"/>
      <w:bookmarkEnd w:id="384"/>
      <w:bookmarkStart w:id="385" w:name="_Toc21964"/>
      <w:bookmarkStart w:id="386" w:name="_Toc8813"/>
      <w:bookmarkStart w:id="387" w:name="_Toc5862"/>
      <w:bookmarkStart w:id="388" w:name="_Toc26834"/>
      <w:bookmarkStart w:id="389" w:name="_Toc2244"/>
      <w:r>
        <w:rPr>
          <w:rFonts w:hint="eastAsia" w:ascii="宋体" w:hAnsi="宋体"/>
          <w:sz w:val="32"/>
          <w:szCs w:val="22"/>
        </w:rPr>
        <w:t>三、</w:t>
      </w:r>
      <w:bookmarkEnd w:id="385"/>
      <w:bookmarkEnd w:id="386"/>
      <w:bookmarkEnd w:id="387"/>
      <w:bookmarkEnd w:id="388"/>
      <w:r>
        <w:rPr>
          <w:rFonts w:hint="eastAsia" w:ascii="宋体" w:hAnsi="宋体"/>
          <w:sz w:val="32"/>
          <w:szCs w:val="22"/>
        </w:rPr>
        <w:t>资格审查资料</w:t>
      </w:r>
      <w:bookmarkEnd w:id="389"/>
    </w:p>
    <w:p>
      <w:pPr>
        <w:jc w:val="center"/>
        <w:rPr>
          <w:rFonts w:ascii="宋体" w:hAnsi="宋体"/>
          <w:sz w:val="30"/>
          <w:szCs w:val="30"/>
        </w:rPr>
      </w:pPr>
      <w:r>
        <w:rPr>
          <w:rFonts w:hint="eastAsia" w:ascii="宋体" w:hAnsi="宋体"/>
        </w:rPr>
        <w:t>（一）供应商基本情况表</w:t>
      </w:r>
    </w:p>
    <w:tbl>
      <w:tblPr>
        <w:tblStyle w:val="31"/>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3"/>
        <w:gridCol w:w="169"/>
        <w:gridCol w:w="3154"/>
        <w:gridCol w:w="153"/>
        <w:gridCol w:w="1318"/>
        <w:gridCol w:w="210"/>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企业名称</w:t>
            </w:r>
          </w:p>
        </w:tc>
        <w:tc>
          <w:tcPr>
            <w:tcW w:w="3476"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成立日期</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51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企业法人营业执照注册号</w:t>
            </w:r>
          </w:p>
        </w:tc>
        <w:tc>
          <w:tcPr>
            <w:tcW w:w="4105" w:type="dxa"/>
            <w:gridSpan w:val="3"/>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注册资本</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企业类型</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批准登记机关</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组织代码</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法定代表人</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营业期限</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资质类型</w:t>
            </w:r>
          </w:p>
        </w:tc>
        <w:tc>
          <w:tcPr>
            <w:tcW w:w="3307"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w:t>
            </w:r>
          </w:p>
        </w:tc>
        <w:tc>
          <w:tcPr>
            <w:tcW w:w="1528"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资质等级</w:t>
            </w:r>
          </w:p>
        </w:tc>
        <w:tc>
          <w:tcPr>
            <w:tcW w:w="2577"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主营业务</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地  址</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开户银行</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开户行号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银行账号</w:t>
            </w:r>
          </w:p>
        </w:tc>
        <w:tc>
          <w:tcPr>
            <w:tcW w:w="7412" w:type="dxa"/>
            <w:gridSpan w:val="5"/>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邮  箱</w:t>
            </w:r>
          </w:p>
        </w:tc>
        <w:tc>
          <w:tcPr>
            <w:tcW w:w="3154" w:type="dxa"/>
            <w:tcBorders>
              <w:top w:val="single" w:color="auto" w:sz="4" w:space="0"/>
              <w:left w:val="nil"/>
              <w:bottom w:val="single" w:color="auto" w:sz="4" w:space="0"/>
              <w:right w:val="single" w:color="auto" w:sz="4" w:space="0"/>
            </w:tcBorders>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邮  编</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182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联系人</w:t>
            </w:r>
          </w:p>
        </w:tc>
        <w:tc>
          <w:tcPr>
            <w:tcW w:w="3154" w:type="dxa"/>
            <w:tcBorders>
              <w:top w:val="single" w:color="auto" w:sz="4" w:space="0"/>
              <w:left w:val="nil"/>
              <w:bottom w:val="single" w:color="auto" w:sz="4" w:space="0"/>
              <w:right w:val="single" w:color="auto" w:sz="4" w:space="0"/>
            </w:tcBorders>
            <w:vAlign w:val="center"/>
          </w:tcPr>
          <w:p>
            <w:pPr>
              <w:rPr>
                <w:rFonts w:ascii="宋体" w:hAnsi="宋体"/>
              </w:rPr>
            </w:pPr>
          </w:p>
        </w:tc>
        <w:tc>
          <w:tcPr>
            <w:tcW w:w="1471" w:type="dxa"/>
            <w:gridSpan w:val="2"/>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联系方式</w:t>
            </w:r>
          </w:p>
        </w:tc>
        <w:tc>
          <w:tcPr>
            <w:tcW w:w="2787" w:type="dxa"/>
            <w:gridSpan w:val="2"/>
            <w:tcBorders>
              <w:top w:val="single" w:color="auto" w:sz="4" w:space="0"/>
              <w:left w:val="nil"/>
              <w:bottom w:val="single" w:color="auto" w:sz="4" w:space="0"/>
              <w:right w:val="single" w:color="auto" w:sz="4" w:space="0"/>
            </w:tcBorders>
            <w:vAlign w:val="center"/>
          </w:tcPr>
          <w:p>
            <w:pPr>
              <w:rPr>
                <w:rFonts w:ascii="宋体" w:hAnsi="宋体"/>
              </w:rPr>
            </w:pPr>
          </w:p>
        </w:tc>
      </w:tr>
    </w:tbl>
    <w:p>
      <w:pPr>
        <w:jc w:val="center"/>
        <w:rPr>
          <w:rFonts w:ascii="宋体" w:hAnsi="宋体" w:cs="宋体"/>
          <w:b/>
          <w:bCs/>
          <w:kern w:val="0"/>
          <w:sz w:val="30"/>
          <w:szCs w:val="30"/>
        </w:rPr>
        <w:sectPr>
          <w:pgSz w:w="11907" w:h="16840"/>
          <w:pgMar w:top="1418" w:right="1247" w:bottom="1134" w:left="1418" w:header="720" w:footer="720" w:gutter="0"/>
          <w:pgNumType w:fmt="numberInDash"/>
          <w:cols w:space="720" w:num="1"/>
          <w:docGrid w:type="lines" w:linePitch="272" w:charSpace="0"/>
        </w:sectPr>
      </w:pPr>
      <w:r>
        <w:rPr>
          <w:rFonts w:hint="eastAsia" w:ascii="宋体" w:hAnsi="宋体"/>
          <w:b/>
          <w:bCs/>
        </w:rPr>
        <w:br w:type="page"/>
      </w:r>
      <w:r>
        <w:rPr>
          <w:rFonts w:hint="eastAsia" w:ascii="宋体" w:hAnsi="宋体"/>
        </w:rPr>
        <w:t>（二）资格审查资料</w:t>
      </w:r>
    </w:p>
    <w:p>
      <w:pPr>
        <w:pStyle w:val="2"/>
        <w:bidi w:val="0"/>
        <w:rPr>
          <w:rFonts w:ascii="宋体" w:hAnsi="宋体"/>
          <w:sz w:val="32"/>
          <w:szCs w:val="22"/>
        </w:rPr>
      </w:pPr>
      <w:bookmarkStart w:id="390" w:name="_Toc3180"/>
      <w:bookmarkStart w:id="391" w:name="_Toc27946"/>
      <w:bookmarkStart w:id="392" w:name="_Toc4630"/>
      <w:bookmarkStart w:id="393" w:name="_Toc10258"/>
      <w:bookmarkStart w:id="394" w:name="_Toc18907"/>
      <w:r>
        <w:rPr>
          <w:rFonts w:hint="eastAsia" w:ascii="宋体" w:hAnsi="宋体"/>
          <w:sz w:val="32"/>
          <w:szCs w:val="22"/>
        </w:rPr>
        <w:t>四、</w:t>
      </w:r>
      <w:bookmarkEnd w:id="390"/>
      <w:bookmarkEnd w:id="391"/>
      <w:bookmarkEnd w:id="392"/>
      <w:bookmarkEnd w:id="393"/>
      <w:bookmarkEnd w:id="394"/>
      <w:r>
        <w:rPr>
          <w:rFonts w:hint="eastAsia" w:ascii="Calibri" w:hAnsi="Calibri"/>
          <w:sz w:val="32"/>
          <w:szCs w:val="24"/>
        </w:rPr>
        <w:t>全过程工程咨询方案</w:t>
      </w:r>
    </w:p>
    <w:p>
      <w:pPr>
        <w:spacing w:line="420" w:lineRule="exact"/>
        <w:ind w:firstLine="420" w:firstLineChars="200"/>
        <w:rPr>
          <w:rFonts w:ascii="宋体" w:hAnsi="宋体"/>
          <w:szCs w:val="21"/>
        </w:rPr>
      </w:pPr>
    </w:p>
    <w:p>
      <w:r>
        <w:rPr>
          <w:rFonts w:hint="eastAsia"/>
        </w:rPr>
        <w:t>格式自定</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r>
        <w:rPr>
          <w:rFonts w:hint="eastAsia"/>
        </w:rPr>
        <w:t>投  标  人（企业电子签章）：</w:t>
      </w:r>
    </w:p>
    <w:p>
      <w:pPr>
        <w:spacing w:line="360" w:lineRule="auto"/>
      </w:pPr>
      <w:r>
        <w:rPr>
          <w:rFonts w:hint="eastAsia"/>
        </w:rPr>
        <w:t>法定代表人（电子签章）：</w:t>
      </w:r>
    </w:p>
    <w:p>
      <w:pPr>
        <w:spacing w:line="360" w:lineRule="auto"/>
      </w:pPr>
      <w:r>
        <w:rPr>
          <w:rFonts w:hint="eastAsia"/>
        </w:rPr>
        <w:t>年  月  日</w:t>
      </w:r>
    </w:p>
    <w:p>
      <w:pPr>
        <w:pStyle w:val="2"/>
        <w:bidi w:val="0"/>
        <w:rPr>
          <w:bCs/>
          <w:sz w:val="28"/>
          <w:szCs w:val="28"/>
        </w:rPr>
      </w:pPr>
      <w:r>
        <w:rPr>
          <w:rFonts w:ascii="宋体" w:hAnsi="宋体"/>
          <w:szCs w:val="21"/>
        </w:rPr>
        <w:br w:type="page"/>
      </w:r>
      <w:bookmarkStart w:id="395" w:name="_Toc31789"/>
      <w:bookmarkStart w:id="396" w:name="_Toc17899"/>
      <w:bookmarkStart w:id="397" w:name="_Toc19951"/>
      <w:bookmarkStart w:id="398" w:name="_Toc24004"/>
      <w:bookmarkStart w:id="399" w:name="_Toc25131"/>
      <w:r>
        <w:rPr>
          <w:rFonts w:hint="eastAsia" w:ascii="宋体" w:hAnsi="宋体"/>
          <w:sz w:val="32"/>
          <w:szCs w:val="22"/>
        </w:rPr>
        <w:t>五、</w:t>
      </w:r>
      <w:bookmarkEnd w:id="395"/>
      <w:bookmarkEnd w:id="396"/>
      <w:bookmarkEnd w:id="397"/>
      <w:bookmarkEnd w:id="398"/>
      <w:bookmarkEnd w:id="399"/>
      <w:bookmarkStart w:id="400" w:name="_Toc22770"/>
      <w:bookmarkStart w:id="401" w:name="_Toc8241"/>
      <w:bookmarkStart w:id="402" w:name="_Toc4076"/>
      <w:bookmarkStart w:id="403" w:name="_Toc16127"/>
      <w:r>
        <w:rPr>
          <w:rFonts w:hint="eastAsia" w:ascii="宋体" w:hAnsi="宋体"/>
          <w:sz w:val="32"/>
          <w:szCs w:val="22"/>
        </w:rPr>
        <w:t>项目管理机构</w:t>
      </w:r>
    </w:p>
    <w:p>
      <w:pPr>
        <w:spacing w:line="360" w:lineRule="auto"/>
        <w:jc w:val="center"/>
        <w:rPr>
          <w:sz w:val="24"/>
        </w:rPr>
      </w:pPr>
      <w:bookmarkStart w:id="404" w:name="_Toc464123681"/>
      <w:r>
        <w:rPr>
          <w:rFonts w:hint="eastAsia"/>
          <w:sz w:val="24"/>
        </w:rPr>
        <w:t>（一）项目管理机构组成表</w:t>
      </w:r>
      <w:bookmarkEnd w:id="404"/>
    </w:p>
    <w:tbl>
      <w:tblPr>
        <w:tblStyle w:val="3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704"/>
        <w:gridCol w:w="702"/>
        <w:gridCol w:w="1558"/>
        <w:gridCol w:w="1104"/>
        <w:gridCol w:w="1224"/>
        <w:gridCol w:w="17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职务</w:t>
            </w:r>
          </w:p>
        </w:tc>
        <w:tc>
          <w:tcPr>
            <w:tcW w:w="704"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姓名</w:t>
            </w:r>
          </w:p>
        </w:tc>
        <w:tc>
          <w:tcPr>
            <w:tcW w:w="702"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职称</w:t>
            </w:r>
          </w:p>
        </w:tc>
        <w:tc>
          <w:tcPr>
            <w:tcW w:w="5620" w:type="dxa"/>
            <w:gridSpan w:val="4"/>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执业或职业资格证明</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证书名称</w:t>
            </w: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级别</w:t>
            </w: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证号</w:t>
            </w: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p>
            <w:pPr>
              <w:tabs>
                <w:tab w:val="center" w:pos="4153"/>
                <w:tab w:val="right" w:pos="8306"/>
              </w:tabs>
              <w:snapToGrid w:val="0"/>
              <w:jc w:val="center"/>
              <w:rPr>
                <w:sz w:val="24"/>
              </w:rPr>
            </w:pPr>
            <w:r>
              <w:rPr>
                <w:rFonts w:hint="eastAsia"/>
                <w:sz w:val="24"/>
              </w:rPr>
              <w:t>专业</w:t>
            </w:r>
          </w:p>
          <w:p>
            <w:pPr>
              <w:tabs>
                <w:tab w:val="center" w:pos="4153"/>
                <w:tab w:val="right" w:pos="8306"/>
              </w:tabs>
              <w:snapToGrid w:val="0"/>
              <w:jc w:val="center"/>
              <w:rPr>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70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558"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0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22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7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bl>
    <w:p>
      <w:pPr>
        <w:spacing w:line="360" w:lineRule="auto"/>
        <w:jc w:val="left"/>
      </w:pPr>
      <w:r>
        <w:rPr>
          <w:rFonts w:hint="eastAsia"/>
        </w:rPr>
        <w:t xml:space="preserve"> </w:t>
      </w:r>
      <w:bookmarkStart w:id="405" w:name="_Toc464123682"/>
    </w:p>
    <w:p>
      <w:pPr>
        <w:spacing w:line="360" w:lineRule="auto"/>
        <w:jc w:val="left"/>
      </w:pPr>
    </w:p>
    <w:p>
      <w:pPr>
        <w:spacing w:line="360" w:lineRule="auto"/>
        <w:jc w:val="left"/>
      </w:pPr>
    </w:p>
    <w:p>
      <w:pPr>
        <w:spacing w:line="360" w:lineRule="auto"/>
        <w:jc w:val="center"/>
        <w:rPr>
          <w:sz w:val="24"/>
        </w:rPr>
      </w:pPr>
      <w:r>
        <w:rPr>
          <w:rFonts w:hint="eastAsia"/>
          <w:sz w:val="24"/>
        </w:rPr>
        <w:t>（二）项目负责人简历表</w:t>
      </w:r>
      <w:bookmarkEnd w:id="405"/>
    </w:p>
    <w:tbl>
      <w:tblPr>
        <w:tblStyle w:val="3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18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姓  名</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年  龄</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02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学历</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职  称</w:t>
            </w:r>
          </w:p>
        </w:tc>
        <w:tc>
          <w:tcPr>
            <w:tcW w:w="103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职  务</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027"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拟在本工程任职</w:t>
            </w:r>
          </w:p>
        </w:tc>
        <w:tc>
          <w:tcPr>
            <w:tcW w:w="194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项目负责人理工程师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毕业学校</w:t>
            </w:r>
          </w:p>
        </w:tc>
        <w:tc>
          <w:tcPr>
            <w:tcW w:w="7413" w:type="dxa"/>
            <w:gridSpan w:val="6"/>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ind w:firstLine="960" w:firstLineChars="400"/>
              <w:rPr>
                <w:sz w:val="24"/>
              </w:rPr>
            </w:pPr>
            <w:r>
              <w:rPr>
                <w:rFonts w:hint="eastAsia"/>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505" w:type="dxa"/>
            <w:gridSpan w:val="7"/>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时  间</w:t>
            </w: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参加过的类似项目名称</w:t>
            </w: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工程概况说明</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r>
              <w:rPr>
                <w:rFonts w:hint="eastAsia"/>
                <w:sz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92"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3444"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sz w:val="24"/>
              </w:rPr>
            </w:pPr>
          </w:p>
        </w:tc>
      </w:tr>
    </w:tbl>
    <w:p>
      <w:pPr>
        <w:rPr>
          <w:rFonts w:ascii="宋体" w:hAnsi="宋体"/>
          <w:sz w:val="32"/>
          <w:szCs w:val="22"/>
        </w:rPr>
      </w:pPr>
      <w:r>
        <w:rPr>
          <w:rFonts w:hint="eastAsia" w:ascii="宋体" w:hAnsi="宋体"/>
          <w:sz w:val="32"/>
          <w:szCs w:val="22"/>
        </w:rPr>
        <w:br w:type="page"/>
      </w:r>
    </w:p>
    <w:bookmarkEnd w:id="400"/>
    <w:bookmarkEnd w:id="401"/>
    <w:bookmarkEnd w:id="402"/>
    <w:bookmarkEnd w:id="403"/>
    <w:p>
      <w:pPr>
        <w:pStyle w:val="2"/>
        <w:bidi w:val="0"/>
      </w:pPr>
      <w:bookmarkStart w:id="406" w:name="_Toc6731"/>
      <w:bookmarkStart w:id="407" w:name="_Toc30329"/>
      <w:bookmarkStart w:id="408" w:name="_Toc13632"/>
      <w:bookmarkStart w:id="409" w:name="_Toc2599"/>
      <w:bookmarkStart w:id="410" w:name="_Toc17305"/>
      <w:r>
        <w:rPr>
          <w:rFonts w:hint="eastAsia"/>
        </w:rPr>
        <w:t>六、其他材料</w:t>
      </w:r>
      <w:bookmarkEnd w:id="406"/>
      <w:bookmarkEnd w:id="407"/>
      <w:bookmarkEnd w:id="408"/>
      <w:bookmarkEnd w:id="409"/>
      <w:bookmarkEnd w:id="410"/>
    </w:p>
    <w:p/>
    <w:p/>
    <w:p>
      <w:pPr>
        <w:rPr>
          <w:rFonts w:ascii="宋体" w:hAnsi="宋体"/>
        </w:rPr>
      </w:pPr>
      <w:r>
        <w:rPr>
          <w:rFonts w:hint="eastAsia" w:ascii="宋体" w:hAnsi="宋体"/>
        </w:rPr>
        <w:t>投标人认为有必要提供的资</w:t>
      </w:r>
      <w:bookmarkStart w:id="411" w:name="_Toc146947714"/>
      <w:bookmarkEnd w:id="411"/>
      <w:bookmarkStart w:id="412" w:name="_Toc46237135"/>
      <w:bookmarkEnd w:id="412"/>
      <w:bookmarkStart w:id="413" w:name="_Toc146949468"/>
      <w:r>
        <w:rPr>
          <w:rFonts w:hint="eastAsia" w:ascii="宋体" w:hAnsi="宋体"/>
        </w:rPr>
        <w:t>料</w:t>
      </w:r>
      <w:bookmarkEnd w:id="413"/>
      <w:r>
        <w:rPr>
          <w:rFonts w:hint="eastAsia" w:ascii="宋体" w:hAnsi="宋体"/>
        </w:rPr>
        <w:t>。</w:t>
      </w:r>
    </w:p>
    <w:p>
      <w:pPr>
        <w:pStyle w:val="3"/>
        <w:jc w:val="center"/>
      </w:pPr>
      <w:r>
        <w:br w:type="page"/>
      </w:r>
      <w:bookmarkStart w:id="414" w:name="_Toc841"/>
      <w:r>
        <w:rPr>
          <w:rFonts w:hint="eastAsia"/>
        </w:rPr>
        <w:t xml:space="preserve">第七章 </w:t>
      </w:r>
      <w:bookmarkEnd w:id="414"/>
      <w:r>
        <w:rPr>
          <w:rFonts w:hint="eastAsia"/>
        </w:rPr>
        <w:t>政采领域优化营商环境相关政策</w:t>
      </w:r>
    </w:p>
    <w:p>
      <w:r>
        <w:rPr>
          <w:rFonts w:hint="eastAsia"/>
        </w:rPr>
        <w:br w:type="page"/>
      </w:r>
    </w:p>
    <w:p>
      <w:pPr>
        <w:spacing w:line="360" w:lineRule="auto"/>
        <w:ind w:firstLine="480" w:firstLineChars="200"/>
        <w:rPr>
          <w:rFonts w:ascii="仿宋" w:hAnsi="仿宋" w:eastAsia="仿宋" w:cs="仿宋"/>
          <w:sz w:val="24"/>
          <w:szCs w:val="24"/>
        </w:rPr>
      </w:pPr>
      <w:bookmarkStart w:id="415" w:name="_Toc11325"/>
      <w:r>
        <w:rPr>
          <w:rFonts w:hint="eastAsia" w:ascii="仿宋" w:hAnsi="仿宋" w:eastAsia="仿宋" w:cs="仿宋"/>
          <w:sz w:val="24"/>
          <w:szCs w:val="24"/>
        </w:rPr>
        <w:t>一、落实四个“一日办”精神：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按照《平顶山市财政局关于压减政府采购各环节时限 进一步优化政府采购营商环境的通知》（平财购〔2021〕34号）通知，落实四个“一日办”精神：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（1）在评审结束后1日内确定采购结果，同时对中标单位发出中标或成交通知书，并在网上进行公告；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（2）中标或成交通知书发出后，1日内与中标或成交供应商签订合同，合同签订当日完成合同备案工作；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（3）政府采购项目供应商履约完成后，采购人应在供应商提出验收申请1个工作日内完成验收，同时在平顶山市政府采购网发布验收结果公告；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（4）验收合格具备付款条件的项目，采购人要在1个工作日内按照合同约定支付项目资金。</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注：签合同需法定代表人携带本人身份证（如为授权委托人，则携带法定代表人授权委托书及本人身份证）、单位公章、合同纸质版本一式六份及合同电子版。</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二、维护企业在政府采购活动中的知情权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三、提供中小企业声明函格式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在采购文件中，采购代理机构应按照财政部、工信部印发的《政府采购促进中小企业发展管理办法》的通知精神（财库〔2020〕46号）提供中小企业声明函格式。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四、推广政府采购合同融资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要求采购人和代理机构将“政府采购合同融资告知函”写入招标文件，鼓励中标供应商凭借采购合同申请贷款，助力解决中小企业融资难、融资贵的问题。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五、落实预留采购份额</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应当按照财政部、工信部印发的《政府采购促进中小企业发展管理办法》的通知精神（财库〔2020〕46号）组织评估本部门及所属单位政府采购项目，统筹制定面向中小企业预留采购份额的具体方案，对适宜由中小企业提供的采购项目和采购包，预留采购份额专门面向中小企业采购，并在政府采购预算中单独列示。采购限额标准以上，200万元以下的货物和服务采购项目、400万元以下的工程采购项目，适宜由中小企业提供的，采购单位应当专门面向中小企业采购。超过200万元的货物和服务采购项目、超过400 万元的工程采购项目中适宜由中小企业提供的，预留该部分采购项目预算总额的30%以上专门面向中小企业采购，其中预留给小微企业的比例不低于60%。确实不适宜由中小企业提供的，应当参照《政府采购促进中小企业发展管理办法》第六条在采购文件中说明理由。按照平顶山市财政局出台的《平顶山市财政局关于进一步加大政府采购支持中小企业力度的通知》（平财购〔2022〕8号）的规定：超过400万元的工程采购项目中适宜由中小企业提供的，采购人在坚持公开公正、公平竞争原则和统一质量标准的前提下，2022年下半年面向中小企业的预留份额由30%以上阶段性提高至40%以上，其中预留给小微企业的比例不低于60%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六、落实价格评审优惠政策</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对于未预留份额专门面向中小企业采购的采购项目，以及预留份额项目中的非预留部分采购包，采购人、采购代理机构应当对符合《政府采购促进中小企业发展管理办法》（财库〔2020〕46号）规定的小微企业报价给予6%—10%（工程项目为 3%—5%）的扣除，用扣除后的价格参加评审。大中型企业与小微企业组成联合体或者大中型企业向小微企业分包的（联合协议或者分包意向协议约定小微企业的合同份额应占合同总金额的30%以上），给予联合体或大中型企业2%—3%（工程项目为1%—2%）的价格扣除优惠，用扣除后的价格参加评审。按照平顶山市财政局出台的《平顶山市财政局关于进一步加大政府采购支持中小企业力度的通知》（平财购〔2022〕8号）的规定：采购人在货物和服务采购项目中， 对于经主管预算单位统筹后未预留份额专门面向中小企业的采购项目，以及预留份额项目中的非预留部分采购包，给予小微企业10%—20%的价格扣除优惠。大中型企业与小微企业组成联合体或者大中型企业向小微企业分包的（联合协议或者分包意向协议约定小微企业的合同份额应占合同总金额的30%以上），给予联合体或大中型企业4%—6%的价格扣除优惠，用扣除后的价格参加评审。鼓励采购人结合采购标的相关行业平均利润率、市场竞争状况等从高选择价格扣除比例和评审优惠幅度，支持中小企业发展。上述政策应当在评审办法中注明确定值。</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采购代理机构在编制采购文件制定评审规则时，采用综合评分法的项目，对技术和价格给予一定幅度的加分：一是在价格项中，可以对绿色产品给予价格总分值3%-5%幅度不等的加分；二是在技术中，可以对绿色产品给予技术总分值3%-5%幅度不等的价格。采用最低评标价法，最低成交价的采购项目，对绿色产品可以在评审时对其投标价格给予2%-5%不等的价格扣除。一个产品，既属于优先采购的节能产品，又列入环境标志产品清单中，在评审规则中可以设置重复加分，也可以只算其中一个，这个权力有采购人掌握，应在采购文件中注明。上述政策应当在评审办法中注明确定值。</w:t>
      </w:r>
    </w:p>
    <w:p>
      <w:pPr>
        <w:rPr>
          <w:rFonts w:ascii="仿宋" w:hAnsi="仿宋" w:eastAsia="仿宋"/>
          <w:b/>
          <w:spacing w:val="6"/>
          <w:sz w:val="32"/>
          <w:szCs w:val="32"/>
        </w:rPr>
      </w:pPr>
      <w:r>
        <w:rPr>
          <w:rFonts w:hint="eastAsia" w:ascii="仿宋" w:hAnsi="仿宋" w:eastAsia="仿宋"/>
          <w:b/>
          <w:spacing w:val="6"/>
          <w:sz w:val="32"/>
          <w:szCs w:val="32"/>
        </w:rPr>
        <w:br w:type="page"/>
      </w:r>
    </w:p>
    <w:p>
      <w:pPr>
        <w:pStyle w:val="2"/>
        <w:rPr>
          <w:rFonts w:ascii="仿宋" w:hAnsi="仿宋" w:eastAsia="仿宋"/>
          <w:bCs/>
          <w:szCs w:val="32"/>
        </w:rPr>
      </w:pPr>
      <w:r>
        <w:rPr>
          <w:rFonts w:hint="eastAsia" w:ascii="仿宋" w:hAnsi="仿宋" w:eastAsia="仿宋"/>
          <w:spacing w:val="6"/>
          <w:szCs w:val="32"/>
        </w:rPr>
        <w:t>附件1：</w:t>
      </w:r>
      <w:r>
        <w:rPr>
          <w:rFonts w:hint="eastAsia" w:ascii="仿宋_GB2312" w:hAnsi="宋体" w:eastAsia="仿宋_GB2312"/>
          <w:szCs w:val="32"/>
        </w:rPr>
        <w:t>中小企业声明函</w:t>
      </w:r>
      <w:bookmarkEnd w:id="415"/>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jc w:val="left"/>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注：符合《关于促进残疾人就业政府采购政策的通知》（财库〔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仿宋" w:eastAsia="仿宋_GB2312" w:cs="仿宋_GB2312"/>
          <w:b/>
          <w:sz w:val="32"/>
          <w:szCs w:val="32"/>
        </w:rPr>
      </w:pP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号）的规定，本公司（联合体）参加</w:t>
      </w:r>
      <w:r>
        <w:rPr>
          <w:rFonts w:ascii="仿宋_GB2312" w:hAnsi="宋体" w:eastAsia="仿宋_GB2312"/>
          <w:sz w:val="24"/>
        </w:rPr>
        <w:t xml:space="preserve"> </w:t>
      </w:r>
      <w:r>
        <w:rPr>
          <w:rFonts w:hint="eastAsia" w:ascii="仿宋_GB2312" w:hAnsi="宋体" w:eastAsia="仿宋_GB2312"/>
          <w:sz w:val="24"/>
        </w:rPr>
        <w:t>（单位名称）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rPr>
        <w:t>（项目名称）</w:t>
      </w:r>
      <w:r>
        <w:rPr>
          <w:rFonts w:ascii="仿宋_GB2312" w:hAnsi="宋体" w:eastAsia="仿宋_GB2312"/>
          <w:sz w:val="24"/>
        </w:rPr>
        <w:t xml:space="preserve"> </w:t>
      </w:r>
      <w:r>
        <w:rPr>
          <w:rFonts w:hint="eastAsia" w:ascii="仿宋_GB2312" w:hAnsi="宋体" w:eastAsia="仿宋_GB2312"/>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（中型企业、小型企业、微型企业）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_GB2312" w:hAnsi="仿宋" w:eastAsia="仿宋_GB2312" w:cs="仿宋_GB2312"/>
          <w:sz w:val="24"/>
        </w:rPr>
      </w:pPr>
      <w:r>
        <w:rPr>
          <w:rFonts w:ascii="仿宋_GB2312" w:hAnsi="仿宋" w:eastAsia="仿宋_GB2312" w:cs="仿宋_GB2312"/>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
        <w:rPr>
          <w:rFonts w:hint="eastAsia"/>
        </w:rPr>
        <w:br w:type="page"/>
      </w:r>
    </w:p>
    <w:p>
      <w:pPr>
        <w:pStyle w:val="2"/>
        <w:rPr>
          <w:rFonts w:ascii="仿宋_GB2312" w:hAnsi="仿宋" w:eastAsia="仿宋_GB2312"/>
          <w:spacing w:val="6"/>
          <w:szCs w:val="32"/>
        </w:rPr>
      </w:pPr>
      <w:bookmarkStart w:id="416" w:name="_Toc31115"/>
      <w:r>
        <w:rPr>
          <w:rFonts w:hint="eastAsia" w:ascii="仿宋_GB2312" w:hAnsi="仿宋" w:eastAsia="仿宋_GB2312"/>
          <w:spacing w:val="6"/>
          <w:szCs w:val="32"/>
        </w:rPr>
        <w:t>附件2</w:t>
      </w:r>
      <w:r>
        <w:rPr>
          <w:rFonts w:ascii="仿宋_GB2312" w:hAnsi="仿宋" w:eastAsia="仿宋_GB2312"/>
          <w:spacing w:val="6"/>
          <w:szCs w:val="32"/>
        </w:rPr>
        <w:t>：</w:t>
      </w:r>
      <w:r>
        <w:rPr>
          <w:rFonts w:hint="eastAsia" w:ascii="仿宋_GB2312" w:hAnsi="仿宋" w:eastAsia="仿宋_GB2312"/>
          <w:spacing w:val="6"/>
          <w:szCs w:val="32"/>
        </w:rPr>
        <w:t>残疾人福利性单位声明函</w:t>
      </w:r>
      <w:bookmarkEnd w:id="416"/>
    </w:p>
    <w:p>
      <w:pPr>
        <w:spacing w:line="360" w:lineRule="auto"/>
        <w:jc w:val="center"/>
        <w:rPr>
          <w:rFonts w:ascii="仿宋_GB2312" w:hAnsi="仿宋" w:eastAsia="仿宋_GB2312"/>
          <w:b/>
          <w:spacing w:val="6"/>
          <w:sz w:val="32"/>
          <w:szCs w:val="32"/>
        </w:rPr>
      </w:pPr>
      <w:bookmarkStart w:id="417" w:name="OLE_LINK14"/>
      <w:bookmarkStart w:id="418" w:name="OLE_LINK13"/>
      <w:r>
        <w:rPr>
          <w:rFonts w:hint="eastAsia" w:ascii="仿宋_GB2312" w:hAnsi="仿宋" w:eastAsia="仿宋_GB2312"/>
          <w:b/>
          <w:spacing w:val="6"/>
          <w:sz w:val="32"/>
          <w:szCs w:val="32"/>
        </w:rPr>
        <w:t>残疾人福利性单位声明函</w:t>
      </w:r>
    </w:p>
    <w:bookmarkEnd w:id="417"/>
    <w:bookmarkEnd w:id="418"/>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r>
        <w:rPr>
          <w:rFonts w:hint="eastAsia"/>
        </w:rPr>
        <w:br w:type="page"/>
      </w:r>
    </w:p>
    <w:p>
      <w:pPr>
        <w:pStyle w:val="2"/>
        <w:rPr>
          <w:rFonts w:hint="eastAsia" w:ascii="仿宋_GB2312" w:hAnsi="仿宋" w:eastAsia="仿宋_GB2312"/>
          <w:spacing w:val="6"/>
          <w:szCs w:val="32"/>
          <w:lang w:val="zh-CN"/>
        </w:rPr>
      </w:pPr>
      <w:bookmarkStart w:id="419" w:name="_Toc8283_WPSOffice_Level1"/>
      <w:bookmarkStart w:id="420" w:name="_Toc7504"/>
      <w:r>
        <w:rPr>
          <w:rFonts w:hint="eastAsia" w:ascii="仿宋_GB2312" w:hAnsi="仿宋" w:eastAsia="仿宋_GB2312"/>
          <w:spacing w:val="6"/>
          <w:szCs w:val="32"/>
        </w:rPr>
        <w:t>附件</w:t>
      </w:r>
      <w:r>
        <w:rPr>
          <w:rFonts w:hint="eastAsia" w:ascii="仿宋_GB2312" w:hAnsi="仿宋" w:eastAsia="仿宋_GB2312"/>
          <w:spacing w:val="6"/>
          <w:szCs w:val="32"/>
          <w:lang w:val="en-US" w:eastAsia="zh-CN"/>
        </w:rPr>
        <w:t>3</w:t>
      </w:r>
      <w:r>
        <w:rPr>
          <w:rFonts w:hint="eastAsia" w:ascii="仿宋_GB2312" w:hAnsi="仿宋" w:eastAsia="仿宋_GB2312"/>
          <w:spacing w:val="6"/>
          <w:szCs w:val="32"/>
        </w:rPr>
        <w:t>：</w:t>
      </w:r>
      <w:r>
        <w:rPr>
          <w:rFonts w:hint="eastAsia" w:ascii="仿宋_GB2312" w:hAnsi="仿宋" w:eastAsia="仿宋_GB2312"/>
          <w:spacing w:val="6"/>
          <w:szCs w:val="32"/>
          <w:lang w:val="zh-CN"/>
        </w:rPr>
        <w:t>监狱企业的证明文件</w:t>
      </w:r>
    </w:p>
    <w:p>
      <w:pPr>
        <w:pStyle w:val="38"/>
        <w:rPr>
          <w:rFonts w:ascii="宋体" w:hAnsi="宋体" w:cs="宋体"/>
          <w:lang w:val="zh-CN"/>
        </w:rPr>
      </w:pP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1、政府采购政策</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财政部、司法部关于政府采购支持监狱企业发展有关问题的通知（财库【2014】68 号）</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2、附证明材料</w:t>
      </w:r>
    </w:p>
    <w:p>
      <w:pPr>
        <w:autoSpaceDE w:val="0"/>
        <w:autoSpaceDN w:val="0"/>
        <w:adjustRightInd w:val="0"/>
        <w:snapToGrid w:val="0"/>
        <w:spacing w:line="360" w:lineRule="auto"/>
        <w:jc w:val="left"/>
        <w:rPr>
          <w:rFonts w:ascii="宋体" w:hAnsi="宋体" w:cs="宋体"/>
          <w:kern w:val="0"/>
          <w:sz w:val="24"/>
          <w:szCs w:val="24"/>
          <w:lang w:val="zh-CN"/>
        </w:rPr>
      </w:pPr>
      <w:r>
        <w:rPr>
          <w:rFonts w:hint="eastAsia" w:ascii="宋体" w:hAnsi="宋体" w:cs="宋体"/>
          <w:kern w:val="0"/>
          <w:sz w:val="24"/>
          <w:szCs w:val="24"/>
          <w:lang w:val="zh-CN"/>
        </w:rPr>
        <w:t xml:space="preserve">提供由省级以上监狱管理局、戒毒管理局（含新疆生产建设兵团）出具的属于监狱企业的证明文件. </w:t>
      </w:r>
    </w:p>
    <w:p>
      <w:pPr>
        <w:autoSpaceDE w:val="0"/>
        <w:autoSpaceDN w:val="0"/>
        <w:adjustRightInd w:val="0"/>
        <w:snapToGrid w:val="0"/>
        <w:jc w:val="left"/>
        <w:rPr>
          <w:rFonts w:ascii="宋体" w:hAnsi="宋体" w:cs="宋体"/>
          <w:kern w:val="0"/>
          <w:sz w:val="24"/>
          <w:szCs w:val="24"/>
          <w:lang w:val="zh-CN"/>
        </w:rPr>
      </w:pPr>
      <w:r>
        <w:rPr>
          <w:rFonts w:hint="eastAsia" w:ascii="宋体" w:hAnsi="宋体" w:cs="宋体"/>
          <w:kern w:val="0"/>
          <w:sz w:val="24"/>
          <w:szCs w:val="24"/>
          <w:lang w:val="zh-CN"/>
        </w:rPr>
        <w:t xml:space="preserve"> </w:t>
      </w:r>
    </w:p>
    <w:p>
      <w:pPr>
        <w:rPr>
          <w:rFonts w:hint="eastAsia" w:ascii="宋体" w:hAnsi="宋体"/>
          <w:bCs/>
          <w:szCs w:val="32"/>
        </w:rPr>
      </w:pPr>
      <w:r>
        <w:rPr>
          <w:rFonts w:hint="eastAsia" w:ascii="宋体" w:hAnsi="宋体"/>
          <w:bCs/>
          <w:szCs w:val="32"/>
        </w:rPr>
        <w:br w:type="page"/>
      </w:r>
    </w:p>
    <w:p>
      <w:pPr>
        <w:pStyle w:val="2"/>
        <w:rPr>
          <w:rFonts w:ascii="宋体" w:hAnsi="宋体" w:eastAsia="宋体"/>
          <w:bCs/>
          <w:szCs w:val="32"/>
        </w:rPr>
      </w:pPr>
      <w:r>
        <w:rPr>
          <w:rFonts w:hint="eastAsia" w:ascii="宋体" w:hAnsi="宋体"/>
          <w:bCs/>
          <w:szCs w:val="32"/>
        </w:rPr>
        <w:t>附件</w:t>
      </w:r>
      <w:bookmarkEnd w:id="419"/>
      <w:r>
        <w:rPr>
          <w:rFonts w:hint="eastAsia" w:ascii="仿宋_GB2312" w:hAnsi="仿宋" w:eastAsia="仿宋_GB2312"/>
          <w:spacing w:val="6"/>
          <w:szCs w:val="32"/>
          <w:lang w:val="en-US" w:eastAsia="zh-CN"/>
        </w:rPr>
        <w:t>4</w:t>
      </w:r>
      <w:r>
        <w:rPr>
          <w:rFonts w:hint="eastAsia" w:ascii="仿宋_GB2312" w:hAnsi="仿宋" w:eastAsia="仿宋_GB2312"/>
          <w:spacing w:val="6"/>
          <w:szCs w:val="32"/>
        </w:rPr>
        <w:t>：政府采购合同融资政策</w:t>
      </w:r>
      <w:bookmarkEnd w:id="420"/>
    </w:p>
    <w:p>
      <w:pPr>
        <w:spacing w:line="360" w:lineRule="auto"/>
        <w:ind w:firstLine="446" w:firstLineChars="200"/>
        <w:jc w:val="center"/>
        <w:rPr>
          <w:rFonts w:hAnsi="宋体" w:cs="宋体"/>
          <w:b/>
          <w:bCs/>
          <w:spacing w:val="6"/>
        </w:rPr>
      </w:pPr>
      <w:r>
        <w:rPr>
          <w:rFonts w:hint="eastAsia" w:hAnsi="宋体" w:cs="宋体"/>
          <w:b/>
          <w:bCs/>
          <w:spacing w:val="6"/>
        </w:rPr>
        <w:t xml:space="preserve"> </w:t>
      </w:r>
    </w:p>
    <w:p>
      <w:pPr>
        <w:widowControl/>
        <w:jc w:val="center"/>
        <w:rPr>
          <w:rFonts w:hAnsi="宋体" w:cs="宋体"/>
          <w:b/>
          <w:bCs/>
        </w:rPr>
      </w:pPr>
      <w:bookmarkStart w:id="421" w:name="_Toc11074_WPSOffice_Level1"/>
      <w:r>
        <w:rPr>
          <w:rFonts w:hint="eastAsia" w:hAnsi="宋体" w:cs="宋体"/>
          <w:b/>
          <w:bCs/>
        </w:rPr>
        <w:t>河南省政府采购合同融资政策告知函</w:t>
      </w:r>
      <w:bookmarkEnd w:id="421"/>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各供应商：</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欢迎贵公司参与河南省政府采购活动！</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widowControl/>
        <w:adjustRightInd w:val="0"/>
        <w:snapToGrid w:val="0"/>
        <w:spacing w:before="156" w:beforeLines="50" w:line="360" w:lineRule="auto"/>
        <w:ind w:firstLine="420" w:firstLineChars="200"/>
        <w:jc w:val="left"/>
        <w:rPr>
          <w:rFonts w:hAnsi="宋体" w:cs="宋体"/>
        </w:rPr>
      </w:pPr>
      <w:r>
        <w:rPr>
          <w:rFonts w:hint="eastAsia" w:hAnsi="宋体" w:cs="宋体"/>
        </w:rPr>
        <w:t>贷款渠道和提供贷款的金融机构，可在河南省政府采购网“河南省政府采购合同融资平台”查询联系。</w:t>
      </w:r>
    </w:p>
    <w:p>
      <w:r>
        <w:rPr>
          <w:rFonts w:hint="eastAsia"/>
        </w:rPr>
        <w:br w:type="page"/>
      </w:r>
    </w:p>
    <w:p>
      <w:pPr>
        <w:pStyle w:val="2"/>
        <w:rPr>
          <w:rFonts w:ascii="宋体" w:hAnsi="宋体"/>
          <w:bCs/>
          <w:szCs w:val="32"/>
        </w:rPr>
      </w:pPr>
      <w:bookmarkStart w:id="422" w:name="_Toc26369"/>
      <w:r>
        <w:rPr>
          <w:rFonts w:hint="eastAsia" w:ascii="宋体" w:hAnsi="宋体"/>
          <w:bCs/>
          <w:szCs w:val="32"/>
        </w:rPr>
        <w:t>附件</w:t>
      </w:r>
      <w:r>
        <w:rPr>
          <w:rFonts w:hint="eastAsia" w:ascii="宋体" w:hAnsi="宋体"/>
          <w:bCs/>
          <w:szCs w:val="32"/>
          <w:lang w:val="en-US" w:eastAsia="zh-CN"/>
        </w:rPr>
        <w:t>5</w:t>
      </w:r>
      <w:r>
        <w:rPr>
          <w:rFonts w:hint="eastAsia" w:ascii="宋体" w:hAnsi="宋体"/>
          <w:bCs/>
          <w:szCs w:val="32"/>
        </w:rPr>
        <w:t>：</w:t>
      </w:r>
      <w:r>
        <w:rPr>
          <w:rFonts w:ascii="宋体" w:hAnsi="宋体"/>
          <w:bCs/>
          <w:szCs w:val="32"/>
        </w:rPr>
        <w:t>关于印发中小企业划型标准规定的通知</w:t>
      </w:r>
      <w:bookmarkEnd w:id="422"/>
    </w:p>
    <w:p>
      <w:pPr>
        <w:widowControl/>
        <w:spacing w:line="432" w:lineRule="auto"/>
        <w:jc w:val="left"/>
        <w:rPr>
          <w:rFonts w:ascii="宋体" w:hAnsi="宋体" w:cs="宋体"/>
          <w:szCs w:val="21"/>
        </w:rPr>
      </w:pPr>
      <w:r>
        <w:rPr>
          <w:rFonts w:hint="eastAsia" w:ascii="宋体" w:hAnsi="宋体" w:cs="宋体"/>
          <w:szCs w:val="21"/>
        </w:rPr>
        <w:t xml:space="preserve">                  </w:t>
      </w:r>
      <w:r>
        <w:rPr>
          <w:rFonts w:ascii="宋体" w:hAnsi="宋体" w:cs="宋体"/>
          <w:szCs w:val="21"/>
        </w:rPr>
        <w:t>工信部联企业〔2011〕300号</w:t>
      </w:r>
    </w:p>
    <w:p>
      <w:pPr>
        <w:spacing w:line="560" w:lineRule="exact"/>
        <w:rPr>
          <w:rFonts w:ascii="宋体" w:hAnsi="宋体" w:cs="宋体"/>
          <w:szCs w:val="21"/>
        </w:rPr>
      </w:pPr>
      <w:r>
        <w:rPr>
          <w:rFonts w:ascii="宋体" w:hAnsi="宋体" w:cs="宋体"/>
          <w:szCs w:val="21"/>
        </w:rPr>
        <w:t>各省、自治区、直辖市人民政府，国务院各部委、各直属机构及有关单位：</w:t>
      </w:r>
    </w:p>
    <w:p>
      <w:pPr>
        <w:spacing w:line="560" w:lineRule="exact"/>
        <w:ind w:firstLine="420" w:firstLineChars="200"/>
        <w:rPr>
          <w:rFonts w:ascii="宋体" w:hAnsi="宋体" w:cs="宋体"/>
          <w:szCs w:val="21"/>
        </w:rPr>
      </w:pPr>
      <w:r>
        <w:rPr>
          <w:rFonts w:ascii="宋体" w:hAnsi="宋体" w:cs="宋体"/>
          <w:szCs w:val="21"/>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560" w:lineRule="exact"/>
        <w:ind w:right="840" w:rightChars="400" w:firstLine="420" w:firstLineChars="200"/>
        <w:jc w:val="right"/>
        <w:rPr>
          <w:rFonts w:ascii="宋体" w:hAnsi="宋体" w:cs="宋体"/>
          <w:szCs w:val="21"/>
        </w:rPr>
      </w:pPr>
      <w:r>
        <w:rPr>
          <w:rFonts w:ascii="宋体" w:hAnsi="宋体" w:cs="宋体"/>
          <w:szCs w:val="21"/>
        </w:rPr>
        <w:t>工业和信息化部</w:t>
      </w:r>
    </w:p>
    <w:p>
      <w:pPr>
        <w:spacing w:line="560" w:lineRule="exact"/>
        <w:ind w:right="840" w:rightChars="400" w:firstLine="420" w:firstLineChars="200"/>
        <w:jc w:val="right"/>
        <w:rPr>
          <w:rFonts w:ascii="宋体" w:hAnsi="宋体" w:cs="宋体"/>
          <w:szCs w:val="21"/>
        </w:rPr>
      </w:pPr>
      <w:r>
        <w:rPr>
          <w:rFonts w:ascii="宋体" w:hAnsi="宋体" w:cs="宋体"/>
          <w:szCs w:val="21"/>
        </w:rPr>
        <w:t>国家统计局</w:t>
      </w:r>
    </w:p>
    <w:p>
      <w:pPr>
        <w:spacing w:line="560" w:lineRule="exact"/>
        <w:ind w:right="840" w:rightChars="400" w:firstLine="420" w:firstLineChars="200"/>
        <w:jc w:val="right"/>
        <w:rPr>
          <w:rFonts w:ascii="宋体" w:hAnsi="宋体" w:cs="宋体"/>
          <w:szCs w:val="21"/>
        </w:rPr>
      </w:pPr>
      <w:r>
        <w:rPr>
          <w:rFonts w:ascii="宋体" w:hAnsi="宋体" w:cs="宋体"/>
          <w:szCs w:val="21"/>
        </w:rPr>
        <w:t>国家发展和改革委员会</w:t>
      </w:r>
    </w:p>
    <w:p>
      <w:pPr>
        <w:spacing w:line="560" w:lineRule="exact"/>
        <w:ind w:right="840" w:rightChars="400" w:firstLine="420" w:firstLineChars="200"/>
        <w:jc w:val="right"/>
        <w:rPr>
          <w:rFonts w:ascii="宋体" w:hAnsi="宋体" w:cs="宋体"/>
          <w:szCs w:val="21"/>
        </w:rPr>
      </w:pPr>
      <w:r>
        <w:rPr>
          <w:rFonts w:ascii="宋体" w:hAnsi="宋体" w:cs="宋体"/>
          <w:szCs w:val="21"/>
        </w:rPr>
        <w:t>财政部</w:t>
      </w:r>
    </w:p>
    <w:p>
      <w:pPr>
        <w:spacing w:line="560" w:lineRule="exact"/>
        <w:ind w:right="840" w:rightChars="400" w:firstLine="420" w:firstLineChars="200"/>
        <w:jc w:val="right"/>
        <w:rPr>
          <w:rFonts w:ascii="宋体" w:hAnsi="宋体" w:cs="宋体"/>
          <w:szCs w:val="21"/>
        </w:rPr>
      </w:pPr>
      <w:r>
        <w:rPr>
          <w:rFonts w:ascii="宋体" w:hAnsi="宋体" w:cs="宋体"/>
          <w:szCs w:val="21"/>
        </w:rPr>
        <w:t>二○一一年六月十八日</w:t>
      </w:r>
    </w:p>
    <w:p>
      <w:pPr>
        <w:spacing w:line="560" w:lineRule="exact"/>
        <w:jc w:val="center"/>
        <w:rPr>
          <w:rFonts w:ascii="宋体" w:hAnsi="宋体" w:cs="宋体"/>
          <w:szCs w:val="21"/>
        </w:rPr>
      </w:pPr>
      <w:r>
        <w:rPr>
          <w:rFonts w:ascii="宋体" w:hAnsi="宋体" w:cs="宋体"/>
          <w:szCs w:val="21"/>
        </w:rPr>
        <w:t>中小企业划型标准规定</w:t>
      </w:r>
    </w:p>
    <w:p>
      <w:pPr>
        <w:spacing w:line="560" w:lineRule="exact"/>
        <w:ind w:firstLine="420" w:firstLineChars="200"/>
        <w:rPr>
          <w:rFonts w:ascii="宋体" w:hAnsi="宋体" w:cs="宋体"/>
          <w:szCs w:val="21"/>
        </w:rPr>
      </w:pPr>
      <w:r>
        <w:rPr>
          <w:rFonts w:ascii="宋体" w:hAnsi="宋体" w:cs="宋体"/>
          <w:szCs w:val="21"/>
        </w:rPr>
        <w:t>一、根据《中华人民共和国中小企业促进法》和《国务院关于进一步促进中小企业发展的若干意见》(国发〔2009〕36号)，制定本规定。</w:t>
      </w:r>
    </w:p>
    <w:p>
      <w:pPr>
        <w:spacing w:line="560" w:lineRule="exact"/>
        <w:ind w:firstLine="420" w:firstLineChars="200"/>
        <w:rPr>
          <w:rFonts w:ascii="宋体" w:hAnsi="宋体" w:cs="宋体"/>
          <w:szCs w:val="21"/>
        </w:rPr>
      </w:pPr>
      <w:r>
        <w:rPr>
          <w:rFonts w:ascii="宋体" w:hAnsi="宋体" w:cs="宋体"/>
          <w:szCs w:val="21"/>
        </w:rPr>
        <w:t>二、中小企业划分为中型、小型、微型三种类型，具体标准根据企业从业人员、营业收入、资产总额等指标，结合行业特点制定。</w:t>
      </w:r>
    </w:p>
    <w:p>
      <w:pPr>
        <w:spacing w:line="560" w:lineRule="exact"/>
        <w:ind w:firstLine="420" w:firstLineChars="200"/>
        <w:rPr>
          <w:rFonts w:ascii="宋体" w:hAnsi="宋体" w:cs="宋体"/>
          <w:szCs w:val="21"/>
        </w:rPr>
      </w:pPr>
      <w:r>
        <w:rPr>
          <w:rFonts w:ascii="宋体" w:hAnsi="宋体" w:cs="宋体"/>
          <w:szCs w:val="2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560" w:lineRule="exact"/>
        <w:ind w:firstLine="420" w:firstLineChars="200"/>
        <w:rPr>
          <w:rFonts w:ascii="宋体" w:hAnsi="宋体" w:cs="宋体"/>
          <w:szCs w:val="21"/>
        </w:rPr>
      </w:pPr>
      <w:r>
        <w:rPr>
          <w:rFonts w:ascii="宋体" w:hAnsi="宋体" w:cs="宋体"/>
          <w:szCs w:val="21"/>
        </w:rPr>
        <w:t>四、各行业划型标准为：</w:t>
      </w:r>
    </w:p>
    <w:p>
      <w:pPr>
        <w:spacing w:line="560" w:lineRule="exact"/>
        <w:ind w:firstLine="420" w:firstLineChars="200"/>
        <w:rPr>
          <w:rFonts w:ascii="宋体" w:hAnsi="宋体" w:cs="宋体"/>
          <w:szCs w:val="21"/>
        </w:rPr>
      </w:pPr>
      <w:r>
        <w:rPr>
          <w:rFonts w:ascii="宋体" w:hAnsi="宋体" w:cs="宋体"/>
          <w:szCs w:val="21"/>
        </w:rPr>
        <w:t>（一）农、林、牧、渔业。营业收入20000万元以下的为中小微型企业。其中，营业收入500万元及以上的为中型企业，营业收入50万元及以上的为小型企业，营业收入50万元以下的为微型企业。</w:t>
      </w:r>
    </w:p>
    <w:p>
      <w:pPr>
        <w:spacing w:line="560" w:lineRule="exact"/>
        <w:ind w:firstLine="420" w:firstLineChars="200"/>
        <w:rPr>
          <w:rFonts w:ascii="宋体" w:hAnsi="宋体" w:cs="宋体"/>
          <w:szCs w:val="21"/>
        </w:rPr>
      </w:pPr>
      <w:r>
        <w:rPr>
          <w:rFonts w:ascii="宋体" w:hAnsi="宋体" w:cs="宋体"/>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560" w:lineRule="exact"/>
        <w:ind w:firstLine="420" w:firstLineChars="200"/>
        <w:rPr>
          <w:rFonts w:ascii="宋体" w:hAnsi="宋体" w:cs="宋体"/>
          <w:szCs w:val="21"/>
        </w:rPr>
      </w:pPr>
      <w:r>
        <w:rPr>
          <w:rFonts w:ascii="宋体" w:hAnsi="宋体" w:cs="宋体"/>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560" w:lineRule="exact"/>
        <w:ind w:firstLine="420" w:firstLineChars="200"/>
        <w:rPr>
          <w:rFonts w:ascii="宋体" w:hAnsi="宋体" w:cs="宋体"/>
          <w:szCs w:val="21"/>
        </w:rPr>
      </w:pPr>
      <w:r>
        <w:rPr>
          <w:rFonts w:ascii="宋体" w:hAnsi="宋体" w:cs="宋体"/>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560" w:lineRule="exact"/>
        <w:ind w:firstLine="420" w:firstLineChars="200"/>
        <w:rPr>
          <w:rFonts w:ascii="宋体" w:hAnsi="宋体" w:cs="宋体"/>
          <w:szCs w:val="21"/>
        </w:rPr>
      </w:pPr>
      <w:r>
        <w:rPr>
          <w:rFonts w:ascii="宋体" w:hAnsi="宋体" w:cs="宋体"/>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560" w:lineRule="exact"/>
        <w:ind w:firstLine="420" w:firstLineChars="200"/>
        <w:rPr>
          <w:rFonts w:ascii="宋体" w:hAnsi="宋体" w:cs="宋体"/>
          <w:szCs w:val="21"/>
        </w:rPr>
      </w:pPr>
      <w:r>
        <w:rPr>
          <w:rFonts w:ascii="宋体" w:hAnsi="宋体" w:cs="宋体"/>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560" w:lineRule="exact"/>
        <w:ind w:firstLine="420" w:firstLineChars="200"/>
        <w:rPr>
          <w:rFonts w:ascii="宋体" w:hAnsi="宋体" w:cs="宋体"/>
          <w:szCs w:val="21"/>
        </w:rPr>
      </w:pPr>
      <w:r>
        <w:rPr>
          <w:rFonts w:ascii="宋体" w:hAnsi="宋体" w:cs="宋体"/>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560" w:lineRule="exact"/>
        <w:ind w:firstLine="420" w:firstLineChars="200"/>
        <w:rPr>
          <w:rFonts w:ascii="宋体" w:hAnsi="宋体" w:cs="宋体"/>
          <w:szCs w:val="21"/>
        </w:rPr>
      </w:pPr>
      <w:r>
        <w:rPr>
          <w:rFonts w:ascii="宋体" w:hAnsi="宋体" w:cs="宋体"/>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560" w:lineRule="exact"/>
        <w:ind w:firstLine="420" w:firstLineChars="200"/>
        <w:rPr>
          <w:rFonts w:ascii="宋体" w:hAnsi="宋体" w:cs="宋体"/>
          <w:szCs w:val="21"/>
        </w:rPr>
      </w:pPr>
      <w:r>
        <w:rPr>
          <w:rFonts w:ascii="宋体" w:hAnsi="宋体" w:cs="宋体"/>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560" w:lineRule="exact"/>
        <w:ind w:firstLine="420" w:firstLineChars="200"/>
        <w:rPr>
          <w:rFonts w:ascii="宋体" w:hAnsi="宋体" w:cs="宋体"/>
          <w:szCs w:val="21"/>
        </w:rPr>
      </w:pPr>
      <w:r>
        <w:rPr>
          <w:rFonts w:ascii="宋体" w:hAnsi="宋体" w:cs="宋体"/>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560" w:lineRule="exact"/>
        <w:ind w:firstLine="420" w:firstLineChars="200"/>
        <w:rPr>
          <w:rFonts w:ascii="宋体" w:hAnsi="宋体" w:cs="宋体"/>
          <w:szCs w:val="21"/>
        </w:rPr>
      </w:pPr>
      <w:r>
        <w:rPr>
          <w:rFonts w:ascii="宋体" w:hAnsi="宋体" w:cs="宋体"/>
          <w:szCs w:val="21"/>
        </w:rPr>
        <w:t>（十六）其他未列明行业。从业人员300人以下的为中小微型企业。其中，从业人员100人及以上的为中型企业；从业人员10人及以上的为小型企业；从业人员10人以下的为微型企业。</w:t>
      </w:r>
    </w:p>
    <w:p>
      <w:pPr>
        <w:spacing w:line="560" w:lineRule="exact"/>
        <w:ind w:firstLine="420" w:firstLineChars="200"/>
        <w:rPr>
          <w:rFonts w:ascii="宋体" w:hAnsi="宋体" w:cs="宋体"/>
          <w:szCs w:val="21"/>
        </w:rPr>
      </w:pPr>
      <w:r>
        <w:rPr>
          <w:rFonts w:ascii="宋体" w:hAnsi="宋体" w:cs="宋体"/>
          <w:szCs w:val="21"/>
        </w:rPr>
        <w:t>五、企业类型的划分以统计部门的统计数据为依据。</w:t>
      </w:r>
    </w:p>
    <w:p>
      <w:pPr>
        <w:spacing w:line="560" w:lineRule="exact"/>
        <w:ind w:firstLine="420" w:firstLineChars="200"/>
        <w:rPr>
          <w:rFonts w:ascii="宋体" w:hAnsi="宋体" w:cs="宋体"/>
          <w:szCs w:val="21"/>
        </w:rPr>
      </w:pPr>
      <w:r>
        <w:rPr>
          <w:rFonts w:ascii="宋体" w:hAnsi="宋体" w:cs="宋体"/>
          <w:szCs w:val="21"/>
        </w:rPr>
        <w:t>六、本规定适用于在中华人民共和国境内依法设立的各类所有制和各种组织形式的企业。个体工商户和本规定以外的行业，参照本规定进行划型。</w:t>
      </w:r>
    </w:p>
    <w:p>
      <w:pPr>
        <w:spacing w:line="560" w:lineRule="exact"/>
        <w:ind w:firstLine="420" w:firstLineChars="200"/>
        <w:rPr>
          <w:rFonts w:ascii="宋体" w:hAnsi="宋体" w:cs="宋体"/>
          <w:szCs w:val="21"/>
        </w:rPr>
      </w:pPr>
      <w:r>
        <w:rPr>
          <w:rFonts w:ascii="宋体" w:hAnsi="宋体" w:cs="宋体"/>
          <w:szCs w:val="21"/>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560" w:lineRule="exact"/>
        <w:ind w:firstLine="420" w:firstLineChars="200"/>
        <w:rPr>
          <w:rFonts w:ascii="宋体" w:hAnsi="宋体" w:cs="宋体"/>
          <w:szCs w:val="21"/>
        </w:rPr>
      </w:pPr>
      <w:r>
        <w:rPr>
          <w:rFonts w:ascii="宋体" w:hAnsi="宋体" w:cs="宋体"/>
          <w:szCs w:val="21"/>
        </w:rPr>
        <w:t>八、本规定由工业和信息化部、国家统计局会同有关部门根据《国民经济行业分类》修订情况和企业发展变化情况适时修订。</w:t>
      </w:r>
    </w:p>
    <w:p>
      <w:pPr>
        <w:spacing w:line="560" w:lineRule="exact"/>
        <w:ind w:firstLine="420" w:firstLineChars="200"/>
        <w:rPr>
          <w:rFonts w:ascii="宋体" w:hAnsi="宋体" w:cs="宋体"/>
          <w:szCs w:val="21"/>
        </w:rPr>
      </w:pPr>
      <w:r>
        <w:rPr>
          <w:rFonts w:ascii="宋体" w:hAnsi="宋体" w:cs="宋体"/>
          <w:szCs w:val="21"/>
        </w:rPr>
        <w:t>九、本规定由工业和信息化部、国家统计局会同有关部门负责解释。</w:t>
      </w:r>
    </w:p>
    <w:p>
      <w:pPr>
        <w:spacing w:line="560" w:lineRule="exact"/>
        <w:ind w:firstLine="420" w:firstLineChars="200"/>
        <w:rPr>
          <w:rFonts w:ascii="宋体" w:hAnsi="宋体" w:cs="宋体"/>
          <w:szCs w:val="21"/>
        </w:rPr>
      </w:pPr>
      <w:r>
        <w:rPr>
          <w:rFonts w:ascii="宋体" w:hAnsi="宋体" w:cs="宋体"/>
          <w:szCs w:val="21"/>
        </w:rPr>
        <w:t>十、本规定自发布之日起执行，原国家经贸委、原国家计委、财政部和国家统计局2003年颁布的《中小企业标准暂行规定》同时废止。</w:t>
      </w:r>
    </w:p>
    <w:p>
      <w:pPr>
        <w:pStyle w:val="2"/>
      </w:pPr>
    </w:p>
    <w:p>
      <w:pPr>
        <w:widowControl/>
        <w:adjustRightInd w:val="0"/>
        <w:snapToGrid w:val="0"/>
        <w:spacing w:before="156" w:beforeLines="50" w:line="360" w:lineRule="auto"/>
        <w:ind w:firstLine="420" w:firstLineChars="200"/>
        <w:jc w:val="left"/>
        <w:rPr>
          <w:rFonts w:hAnsi="宋体" w:cs="宋体"/>
        </w:rPr>
      </w:pPr>
    </w:p>
    <w:p/>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仿宋_GB2312">
    <w:altName w:val="仿宋"/>
    <w:panose1 w:val="00000000000000000000"/>
    <w:charset w:val="86"/>
    <w:family w:val="modern"/>
    <w:pitch w:val="default"/>
    <w:sig w:usb0="00000000" w:usb1="00000000" w:usb2="00000000" w:usb3="00000000" w:csb0="00040000" w:csb1="00000000"/>
  </w:font>
  <w:font w:name="方正美黑简体">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59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B8857"/>
    <w:multiLevelType w:val="singleLevel"/>
    <w:tmpl w:val="B70B8857"/>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2"/>
      <w:numFmt w:val="chineseCounting"/>
      <w:suff w:val="nothing"/>
      <w:lvlText w:val="（%1）"/>
      <w:lvlJc w:val="left"/>
    </w:lvl>
  </w:abstractNum>
  <w:abstractNum w:abstractNumId="2">
    <w:nsid w:val="035434E9"/>
    <w:multiLevelType w:val="singleLevel"/>
    <w:tmpl w:val="035434E9"/>
    <w:lvl w:ilvl="0" w:tentative="0">
      <w:start w:val="1"/>
      <w:numFmt w:val="chineseCounting"/>
      <w:suff w:val="nothing"/>
      <w:lvlText w:val="%1、"/>
      <w:lvlJc w:val="left"/>
      <w:rPr>
        <w:rFonts w:hint="eastAsia"/>
      </w:rPr>
    </w:lvl>
  </w:abstractNum>
  <w:abstractNum w:abstractNumId="3">
    <w:nsid w:val="065919C0"/>
    <w:multiLevelType w:val="multilevel"/>
    <w:tmpl w:val="065919C0"/>
    <w:lvl w:ilvl="0" w:tentative="0">
      <w:start w:val="1"/>
      <w:numFmt w:val="chineseCounting"/>
      <w:suff w:val="nothing"/>
      <w:lvlText w:val="%1"/>
      <w:lvlJc w:val="left"/>
      <w:pPr>
        <w:tabs>
          <w:tab w:val="left" w:pos="42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6"/>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4">
    <w:nsid w:val="5384642F"/>
    <w:multiLevelType w:val="singleLevel"/>
    <w:tmpl w:val="5384642F"/>
    <w:lvl w:ilvl="0" w:tentative="0">
      <w:start w:val="2"/>
      <w:numFmt w:val="decimal"/>
      <w:suff w:val="nothing"/>
      <w:lvlText w:val="(%1）"/>
      <w:lvlJc w:val="left"/>
    </w:lvl>
  </w:abstractNum>
  <w:abstractNum w:abstractNumId="5">
    <w:nsid w:val="7CE44D29"/>
    <w:multiLevelType w:val="singleLevel"/>
    <w:tmpl w:val="7CE44D29"/>
    <w:lvl w:ilvl="0" w:tentative="0">
      <w:start w:val="1"/>
      <w:numFmt w:val="decimal"/>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NmU1ZTllMTY1ZTc5ZWUwNzM3MmFkOTc2NTU3MjAifQ=="/>
  </w:docVars>
  <w:rsids>
    <w:rsidRoot w:val="6ED143DF"/>
    <w:rsid w:val="00030869"/>
    <w:rsid w:val="002F5BF0"/>
    <w:rsid w:val="00452977"/>
    <w:rsid w:val="004836C2"/>
    <w:rsid w:val="004D1E72"/>
    <w:rsid w:val="005444FC"/>
    <w:rsid w:val="00647CBE"/>
    <w:rsid w:val="006B637A"/>
    <w:rsid w:val="006F7774"/>
    <w:rsid w:val="007030C3"/>
    <w:rsid w:val="007C513C"/>
    <w:rsid w:val="008201BA"/>
    <w:rsid w:val="008D5D29"/>
    <w:rsid w:val="009127DE"/>
    <w:rsid w:val="0097171C"/>
    <w:rsid w:val="009A42D6"/>
    <w:rsid w:val="00A1148B"/>
    <w:rsid w:val="00A11C6B"/>
    <w:rsid w:val="00A96DA6"/>
    <w:rsid w:val="00AF1370"/>
    <w:rsid w:val="00B8521C"/>
    <w:rsid w:val="00BB5F99"/>
    <w:rsid w:val="00BD6B2C"/>
    <w:rsid w:val="00CE5331"/>
    <w:rsid w:val="00CF73D2"/>
    <w:rsid w:val="00E15531"/>
    <w:rsid w:val="00FB384F"/>
    <w:rsid w:val="018832AE"/>
    <w:rsid w:val="01920C09"/>
    <w:rsid w:val="019C703D"/>
    <w:rsid w:val="01D42333"/>
    <w:rsid w:val="026766C6"/>
    <w:rsid w:val="026C6B8F"/>
    <w:rsid w:val="0273440B"/>
    <w:rsid w:val="02BA4B49"/>
    <w:rsid w:val="02F46010"/>
    <w:rsid w:val="02FF3126"/>
    <w:rsid w:val="03392030"/>
    <w:rsid w:val="036E1C54"/>
    <w:rsid w:val="03C56E70"/>
    <w:rsid w:val="03D15BD1"/>
    <w:rsid w:val="03D175AA"/>
    <w:rsid w:val="05371DFF"/>
    <w:rsid w:val="05F308DC"/>
    <w:rsid w:val="06756F9B"/>
    <w:rsid w:val="0682777D"/>
    <w:rsid w:val="06C35138"/>
    <w:rsid w:val="074C582B"/>
    <w:rsid w:val="074E2C76"/>
    <w:rsid w:val="07D375F4"/>
    <w:rsid w:val="07D91234"/>
    <w:rsid w:val="0820033C"/>
    <w:rsid w:val="08976366"/>
    <w:rsid w:val="08DD7B92"/>
    <w:rsid w:val="094A5D3A"/>
    <w:rsid w:val="094B32C4"/>
    <w:rsid w:val="098F1CC5"/>
    <w:rsid w:val="09A41046"/>
    <w:rsid w:val="09D731EC"/>
    <w:rsid w:val="09E60903"/>
    <w:rsid w:val="0A015154"/>
    <w:rsid w:val="0A3165AC"/>
    <w:rsid w:val="0AA1069D"/>
    <w:rsid w:val="0B132456"/>
    <w:rsid w:val="0B13554A"/>
    <w:rsid w:val="0B770DC7"/>
    <w:rsid w:val="0BCA14D2"/>
    <w:rsid w:val="0C103E5D"/>
    <w:rsid w:val="0CC1331E"/>
    <w:rsid w:val="0D096665"/>
    <w:rsid w:val="0D752852"/>
    <w:rsid w:val="0E852299"/>
    <w:rsid w:val="0E942A02"/>
    <w:rsid w:val="0F0A1277"/>
    <w:rsid w:val="0F384902"/>
    <w:rsid w:val="0F3E0995"/>
    <w:rsid w:val="0F993D6F"/>
    <w:rsid w:val="0FBC3D33"/>
    <w:rsid w:val="10125CE4"/>
    <w:rsid w:val="1064514B"/>
    <w:rsid w:val="10BF0318"/>
    <w:rsid w:val="10DE4764"/>
    <w:rsid w:val="112213B5"/>
    <w:rsid w:val="11271087"/>
    <w:rsid w:val="115A19DC"/>
    <w:rsid w:val="11F1338E"/>
    <w:rsid w:val="120D3AE6"/>
    <w:rsid w:val="12107109"/>
    <w:rsid w:val="12945E29"/>
    <w:rsid w:val="12AE5EDD"/>
    <w:rsid w:val="12DB4F56"/>
    <w:rsid w:val="130124FC"/>
    <w:rsid w:val="13793575"/>
    <w:rsid w:val="13F73491"/>
    <w:rsid w:val="14317163"/>
    <w:rsid w:val="147B4E8F"/>
    <w:rsid w:val="14E34C45"/>
    <w:rsid w:val="14EF49CC"/>
    <w:rsid w:val="14F6131A"/>
    <w:rsid w:val="150C3C2C"/>
    <w:rsid w:val="150E67E4"/>
    <w:rsid w:val="16495D0D"/>
    <w:rsid w:val="16643CBC"/>
    <w:rsid w:val="169C3D5E"/>
    <w:rsid w:val="16CE5293"/>
    <w:rsid w:val="17106926"/>
    <w:rsid w:val="17145FB9"/>
    <w:rsid w:val="179F33AD"/>
    <w:rsid w:val="185B6662"/>
    <w:rsid w:val="18BE2B94"/>
    <w:rsid w:val="18EC33DE"/>
    <w:rsid w:val="19B01C63"/>
    <w:rsid w:val="19BE1A8C"/>
    <w:rsid w:val="1A075200"/>
    <w:rsid w:val="1A367A19"/>
    <w:rsid w:val="1A6341BA"/>
    <w:rsid w:val="1B721C95"/>
    <w:rsid w:val="1B8E70BD"/>
    <w:rsid w:val="1BB34810"/>
    <w:rsid w:val="1CB7721C"/>
    <w:rsid w:val="1D4D4E04"/>
    <w:rsid w:val="1D503192"/>
    <w:rsid w:val="1D686902"/>
    <w:rsid w:val="1D8D5363"/>
    <w:rsid w:val="1D98224C"/>
    <w:rsid w:val="1DE32482"/>
    <w:rsid w:val="1DEC7E07"/>
    <w:rsid w:val="1E343EB8"/>
    <w:rsid w:val="1E621BEF"/>
    <w:rsid w:val="1E801A97"/>
    <w:rsid w:val="1E88582D"/>
    <w:rsid w:val="1EB337F6"/>
    <w:rsid w:val="1ED43222"/>
    <w:rsid w:val="1EE614D3"/>
    <w:rsid w:val="1F5A3745"/>
    <w:rsid w:val="1FB4618B"/>
    <w:rsid w:val="200520AA"/>
    <w:rsid w:val="20702529"/>
    <w:rsid w:val="20912DE6"/>
    <w:rsid w:val="20A613BC"/>
    <w:rsid w:val="20B96D9B"/>
    <w:rsid w:val="21012738"/>
    <w:rsid w:val="21891E99"/>
    <w:rsid w:val="21A81DE4"/>
    <w:rsid w:val="21B41E96"/>
    <w:rsid w:val="21B82DDA"/>
    <w:rsid w:val="228B2E60"/>
    <w:rsid w:val="2297656C"/>
    <w:rsid w:val="22BC0B5F"/>
    <w:rsid w:val="22E86DBF"/>
    <w:rsid w:val="234F6862"/>
    <w:rsid w:val="237175D1"/>
    <w:rsid w:val="2378236D"/>
    <w:rsid w:val="239E5281"/>
    <w:rsid w:val="23E12F84"/>
    <w:rsid w:val="24831808"/>
    <w:rsid w:val="24936DFC"/>
    <w:rsid w:val="24B5084B"/>
    <w:rsid w:val="259C09D8"/>
    <w:rsid w:val="25B72B1E"/>
    <w:rsid w:val="265A55E1"/>
    <w:rsid w:val="266307ED"/>
    <w:rsid w:val="28C7006B"/>
    <w:rsid w:val="29CE54D8"/>
    <w:rsid w:val="29E8079A"/>
    <w:rsid w:val="2A357194"/>
    <w:rsid w:val="2A4C61CD"/>
    <w:rsid w:val="2A5326E7"/>
    <w:rsid w:val="2A671492"/>
    <w:rsid w:val="2AEF765B"/>
    <w:rsid w:val="2B1002B1"/>
    <w:rsid w:val="2B4726AA"/>
    <w:rsid w:val="2C183BD1"/>
    <w:rsid w:val="2C2A79AF"/>
    <w:rsid w:val="2C6E577E"/>
    <w:rsid w:val="2CA70702"/>
    <w:rsid w:val="2D174DDA"/>
    <w:rsid w:val="2D9245BE"/>
    <w:rsid w:val="2DA455ED"/>
    <w:rsid w:val="2DEA1848"/>
    <w:rsid w:val="2DFA61F5"/>
    <w:rsid w:val="2E5C68C9"/>
    <w:rsid w:val="2E8B643F"/>
    <w:rsid w:val="2E93419C"/>
    <w:rsid w:val="2F086FEE"/>
    <w:rsid w:val="2F2F1152"/>
    <w:rsid w:val="2F492E2F"/>
    <w:rsid w:val="2F5E7D55"/>
    <w:rsid w:val="2FA1187F"/>
    <w:rsid w:val="2FEA2CCE"/>
    <w:rsid w:val="301A0400"/>
    <w:rsid w:val="306759FA"/>
    <w:rsid w:val="30BF0F33"/>
    <w:rsid w:val="30CD311A"/>
    <w:rsid w:val="30D17BC6"/>
    <w:rsid w:val="31073458"/>
    <w:rsid w:val="311C5EB2"/>
    <w:rsid w:val="31662722"/>
    <w:rsid w:val="31B37C0B"/>
    <w:rsid w:val="31DC4866"/>
    <w:rsid w:val="32336131"/>
    <w:rsid w:val="32886247"/>
    <w:rsid w:val="32B66AE6"/>
    <w:rsid w:val="33123037"/>
    <w:rsid w:val="33133931"/>
    <w:rsid w:val="33667A96"/>
    <w:rsid w:val="33684A30"/>
    <w:rsid w:val="33873E4C"/>
    <w:rsid w:val="33A67D8F"/>
    <w:rsid w:val="33B81B1A"/>
    <w:rsid w:val="33E617E7"/>
    <w:rsid w:val="34856C22"/>
    <w:rsid w:val="349677CD"/>
    <w:rsid w:val="34985C97"/>
    <w:rsid w:val="356B2694"/>
    <w:rsid w:val="35867AFB"/>
    <w:rsid w:val="35F447E1"/>
    <w:rsid w:val="36510DBB"/>
    <w:rsid w:val="366D10A9"/>
    <w:rsid w:val="3670462D"/>
    <w:rsid w:val="367E3DCF"/>
    <w:rsid w:val="37084E21"/>
    <w:rsid w:val="37D50CB3"/>
    <w:rsid w:val="37D60DC8"/>
    <w:rsid w:val="38025BE4"/>
    <w:rsid w:val="3841554B"/>
    <w:rsid w:val="38536553"/>
    <w:rsid w:val="385F450D"/>
    <w:rsid w:val="39583E6E"/>
    <w:rsid w:val="395B2441"/>
    <w:rsid w:val="3A6804A6"/>
    <w:rsid w:val="3ABF6BB0"/>
    <w:rsid w:val="3B0F2B8D"/>
    <w:rsid w:val="3B100D14"/>
    <w:rsid w:val="3B3C1555"/>
    <w:rsid w:val="3C306200"/>
    <w:rsid w:val="3C69217A"/>
    <w:rsid w:val="3C772BCF"/>
    <w:rsid w:val="3CEB7728"/>
    <w:rsid w:val="3CEF4208"/>
    <w:rsid w:val="3D154811"/>
    <w:rsid w:val="3D4A6A3E"/>
    <w:rsid w:val="3D781ACF"/>
    <w:rsid w:val="3DD374A5"/>
    <w:rsid w:val="3DEC0EF8"/>
    <w:rsid w:val="3E0D4970"/>
    <w:rsid w:val="3E31421F"/>
    <w:rsid w:val="3E367B3B"/>
    <w:rsid w:val="3EF064B9"/>
    <w:rsid w:val="3F662EEC"/>
    <w:rsid w:val="3F7326A6"/>
    <w:rsid w:val="3F8777A0"/>
    <w:rsid w:val="40363F4D"/>
    <w:rsid w:val="403B449D"/>
    <w:rsid w:val="403E57B7"/>
    <w:rsid w:val="40F153D2"/>
    <w:rsid w:val="415D197D"/>
    <w:rsid w:val="41704488"/>
    <w:rsid w:val="42361E73"/>
    <w:rsid w:val="426052B1"/>
    <w:rsid w:val="42875B90"/>
    <w:rsid w:val="42CB79C0"/>
    <w:rsid w:val="42E465ED"/>
    <w:rsid w:val="4304784C"/>
    <w:rsid w:val="43434638"/>
    <w:rsid w:val="43473E6F"/>
    <w:rsid w:val="437C475F"/>
    <w:rsid w:val="43836B1F"/>
    <w:rsid w:val="444F4665"/>
    <w:rsid w:val="451E7DE7"/>
    <w:rsid w:val="45C66051"/>
    <w:rsid w:val="45E01E51"/>
    <w:rsid w:val="47DD7215"/>
    <w:rsid w:val="48B91702"/>
    <w:rsid w:val="48BC46B3"/>
    <w:rsid w:val="49140D13"/>
    <w:rsid w:val="49736F85"/>
    <w:rsid w:val="4978719B"/>
    <w:rsid w:val="497A6FF6"/>
    <w:rsid w:val="49D308D2"/>
    <w:rsid w:val="4A901EB6"/>
    <w:rsid w:val="4AA47225"/>
    <w:rsid w:val="4AC629D8"/>
    <w:rsid w:val="4B093BFF"/>
    <w:rsid w:val="4B9131FC"/>
    <w:rsid w:val="4B922F10"/>
    <w:rsid w:val="4BDC4ACD"/>
    <w:rsid w:val="4BE27E91"/>
    <w:rsid w:val="4BF4714D"/>
    <w:rsid w:val="4C030432"/>
    <w:rsid w:val="4C10349A"/>
    <w:rsid w:val="4C300310"/>
    <w:rsid w:val="4C7D60E1"/>
    <w:rsid w:val="4C8F40BF"/>
    <w:rsid w:val="4C9B26C8"/>
    <w:rsid w:val="4CCA02AF"/>
    <w:rsid w:val="4D222166"/>
    <w:rsid w:val="4D427E7E"/>
    <w:rsid w:val="4D6F0A70"/>
    <w:rsid w:val="4D8E4993"/>
    <w:rsid w:val="4DC975D3"/>
    <w:rsid w:val="4E247693"/>
    <w:rsid w:val="4E5519EF"/>
    <w:rsid w:val="4E6C1054"/>
    <w:rsid w:val="4EC926D0"/>
    <w:rsid w:val="4F777C92"/>
    <w:rsid w:val="4FEB205A"/>
    <w:rsid w:val="505E2DD7"/>
    <w:rsid w:val="508305DB"/>
    <w:rsid w:val="509332C4"/>
    <w:rsid w:val="51B86C58"/>
    <w:rsid w:val="51D0248C"/>
    <w:rsid w:val="520D2047"/>
    <w:rsid w:val="53123849"/>
    <w:rsid w:val="53530CC7"/>
    <w:rsid w:val="53767A24"/>
    <w:rsid w:val="537B1E8D"/>
    <w:rsid w:val="53812C72"/>
    <w:rsid w:val="53982975"/>
    <w:rsid w:val="54452DCD"/>
    <w:rsid w:val="54EA58EB"/>
    <w:rsid w:val="552449E0"/>
    <w:rsid w:val="552D6B14"/>
    <w:rsid w:val="556F5E3B"/>
    <w:rsid w:val="55A801D9"/>
    <w:rsid w:val="55EC0EA4"/>
    <w:rsid w:val="561A0C37"/>
    <w:rsid w:val="56647828"/>
    <w:rsid w:val="566975FC"/>
    <w:rsid w:val="56EC1371"/>
    <w:rsid w:val="570C3B9D"/>
    <w:rsid w:val="571C051F"/>
    <w:rsid w:val="573A5EA1"/>
    <w:rsid w:val="57C837E8"/>
    <w:rsid w:val="57DF64E4"/>
    <w:rsid w:val="58153265"/>
    <w:rsid w:val="583F0447"/>
    <w:rsid w:val="587303C7"/>
    <w:rsid w:val="599A6948"/>
    <w:rsid w:val="59B44FC4"/>
    <w:rsid w:val="59DB6CB6"/>
    <w:rsid w:val="59E57744"/>
    <w:rsid w:val="5A161244"/>
    <w:rsid w:val="5A8926B6"/>
    <w:rsid w:val="5B3E7300"/>
    <w:rsid w:val="5B43798A"/>
    <w:rsid w:val="5B7374E2"/>
    <w:rsid w:val="5B7830E4"/>
    <w:rsid w:val="5B960BEB"/>
    <w:rsid w:val="5C2C5241"/>
    <w:rsid w:val="5C4917CF"/>
    <w:rsid w:val="5C8F067E"/>
    <w:rsid w:val="5CB123D8"/>
    <w:rsid w:val="5CBB0FD3"/>
    <w:rsid w:val="5CDB777B"/>
    <w:rsid w:val="5CF90651"/>
    <w:rsid w:val="5D766E1E"/>
    <w:rsid w:val="5F130201"/>
    <w:rsid w:val="5F1F4DC8"/>
    <w:rsid w:val="5F524731"/>
    <w:rsid w:val="5F5B2266"/>
    <w:rsid w:val="5F6533FA"/>
    <w:rsid w:val="5FB63601"/>
    <w:rsid w:val="5FBB4B14"/>
    <w:rsid w:val="5FD348D1"/>
    <w:rsid w:val="60252C64"/>
    <w:rsid w:val="60F26B4F"/>
    <w:rsid w:val="612C7132"/>
    <w:rsid w:val="618A5A13"/>
    <w:rsid w:val="61E354DB"/>
    <w:rsid w:val="624357C0"/>
    <w:rsid w:val="624539D2"/>
    <w:rsid w:val="624A5B9D"/>
    <w:rsid w:val="637B517C"/>
    <w:rsid w:val="63FF6A56"/>
    <w:rsid w:val="64012677"/>
    <w:rsid w:val="645A21DB"/>
    <w:rsid w:val="6551032B"/>
    <w:rsid w:val="6582793A"/>
    <w:rsid w:val="65CF59A5"/>
    <w:rsid w:val="65FC6460"/>
    <w:rsid w:val="662F646E"/>
    <w:rsid w:val="66520FA0"/>
    <w:rsid w:val="66DE21DA"/>
    <w:rsid w:val="67227A3E"/>
    <w:rsid w:val="674F17E1"/>
    <w:rsid w:val="67717307"/>
    <w:rsid w:val="677B4389"/>
    <w:rsid w:val="679421E1"/>
    <w:rsid w:val="67B07E9C"/>
    <w:rsid w:val="67BC1C2C"/>
    <w:rsid w:val="67F421CD"/>
    <w:rsid w:val="680028B9"/>
    <w:rsid w:val="6863755E"/>
    <w:rsid w:val="68EA743D"/>
    <w:rsid w:val="69282794"/>
    <w:rsid w:val="695D21DB"/>
    <w:rsid w:val="69CF4D7C"/>
    <w:rsid w:val="6A483F11"/>
    <w:rsid w:val="6A800C81"/>
    <w:rsid w:val="6ADA0A78"/>
    <w:rsid w:val="6AFF3516"/>
    <w:rsid w:val="6B2D663B"/>
    <w:rsid w:val="6B714CB9"/>
    <w:rsid w:val="6B876582"/>
    <w:rsid w:val="6BE86945"/>
    <w:rsid w:val="6BEC78DC"/>
    <w:rsid w:val="6C182D5A"/>
    <w:rsid w:val="6C313378"/>
    <w:rsid w:val="6D3643D7"/>
    <w:rsid w:val="6DEB496C"/>
    <w:rsid w:val="6E2411E1"/>
    <w:rsid w:val="6E794EB4"/>
    <w:rsid w:val="6E865C74"/>
    <w:rsid w:val="6ECA40B1"/>
    <w:rsid w:val="6ED143DF"/>
    <w:rsid w:val="6ED258E7"/>
    <w:rsid w:val="6EE74CE6"/>
    <w:rsid w:val="6F0138BC"/>
    <w:rsid w:val="6F250D7D"/>
    <w:rsid w:val="6F4C1E7C"/>
    <w:rsid w:val="6F8D69E2"/>
    <w:rsid w:val="6FAB1139"/>
    <w:rsid w:val="6FD23394"/>
    <w:rsid w:val="6FE71612"/>
    <w:rsid w:val="70180B22"/>
    <w:rsid w:val="704C2207"/>
    <w:rsid w:val="706C0E4D"/>
    <w:rsid w:val="70890A7F"/>
    <w:rsid w:val="716A53DF"/>
    <w:rsid w:val="7190461D"/>
    <w:rsid w:val="71956C97"/>
    <w:rsid w:val="71972CB9"/>
    <w:rsid w:val="7201773D"/>
    <w:rsid w:val="722B43B9"/>
    <w:rsid w:val="72463A54"/>
    <w:rsid w:val="72B27D4E"/>
    <w:rsid w:val="72CF1ADB"/>
    <w:rsid w:val="732A1F96"/>
    <w:rsid w:val="732C4BE5"/>
    <w:rsid w:val="73E874C4"/>
    <w:rsid w:val="74155244"/>
    <w:rsid w:val="745622FE"/>
    <w:rsid w:val="7490370B"/>
    <w:rsid w:val="75346601"/>
    <w:rsid w:val="7576521A"/>
    <w:rsid w:val="759C64F7"/>
    <w:rsid w:val="75CC68B9"/>
    <w:rsid w:val="769339B8"/>
    <w:rsid w:val="772B6B08"/>
    <w:rsid w:val="77700847"/>
    <w:rsid w:val="777B4075"/>
    <w:rsid w:val="778515B2"/>
    <w:rsid w:val="77C4370A"/>
    <w:rsid w:val="7857031B"/>
    <w:rsid w:val="7862655F"/>
    <w:rsid w:val="78743471"/>
    <w:rsid w:val="788F1B77"/>
    <w:rsid w:val="79217B5A"/>
    <w:rsid w:val="798113A7"/>
    <w:rsid w:val="798B43EF"/>
    <w:rsid w:val="79F879A4"/>
    <w:rsid w:val="7A135350"/>
    <w:rsid w:val="7A20356F"/>
    <w:rsid w:val="7A9E2C9D"/>
    <w:rsid w:val="7ADA3909"/>
    <w:rsid w:val="7AED1F90"/>
    <w:rsid w:val="7B044AAE"/>
    <w:rsid w:val="7B527388"/>
    <w:rsid w:val="7B5F2248"/>
    <w:rsid w:val="7B9513D2"/>
    <w:rsid w:val="7BC3707F"/>
    <w:rsid w:val="7C0D1405"/>
    <w:rsid w:val="7C5F7671"/>
    <w:rsid w:val="7CFF0611"/>
    <w:rsid w:val="7D0B50FF"/>
    <w:rsid w:val="7D1957D9"/>
    <w:rsid w:val="7DB873FD"/>
    <w:rsid w:val="7ED2473B"/>
    <w:rsid w:val="7EE066E8"/>
    <w:rsid w:val="7EEF0A6E"/>
    <w:rsid w:val="7F49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2"/>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spacing w:line="360" w:lineRule="auto"/>
      <w:outlineLvl w:val="2"/>
    </w:pPr>
    <w:rPr>
      <w:b/>
      <w:sz w:val="24"/>
    </w:rPr>
  </w:style>
  <w:style w:type="paragraph" w:styleId="5">
    <w:name w:val="heading 4"/>
    <w:basedOn w:val="1"/>
    <w:next w:val="1"/>
    <w:link w:val="45"/>
    <w:qFormat/>
    <w:uiPriority w:val="0"/>
    <w:pPr>
      <w:keepNext/>
      <w:keepLines/>
      <w:spacing w:line="360" w:lineRule="auto"/>
      <w:outlineLvl w:val="3"/>
    </w:pPr>
    <w:rPr>
      <w:rFonts w:ascii="Arial" w:hAnsi="Arial"/>
      <w:b/>
      <w:kern w:val="0"/>
      <w:sz w:val="20"/>
    </w:rPr>
  </w:style>
  <w:style w:type="paragraph" w:styleId="6">
    <w:name w:val="heading 6"/>
    <w:basedOn w:val="1"/>
    <w:next w:val="1"/>
    <w:qFormat/>
    <w:uiPriority w:val="0"/>
    <w:pPr>
      <w:keepNext/>
      <w:keepLines/>
      <w:numPr>
        <w:ilvl w:val="5"/>
        <w:numId w:val="1"/>
      </w:numPr>
      <w:tabs>
        <w:tab w:val="left" w:pos="1152"/>
      </w:tabs>
      <w:spacing w:before="240" w:after="64" w:line="317" w:lineRule="auto"/>
      <w:outlineLvl w:val="5"/>
    </w:pPr>
    <w:rPr>
      <w:rFonts w:ascii="Arial" w:hAnsi="Arial" w:eastAsia="黑体"/>
      <w:b/>
      <w:sz w:val="24"/>
    </w:rPr>
  </w:style>
  <w:style w:type="character" w:default="1" w:styleId="27">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49"/>
    <w:qFormat/>
    <w:uiPriority w:val="0"/>
    <w:rPr>
      <w:b/>
      <w:bCs/>
    </w:rPr>
  </w:style>
  <w:style w:type="paragraph" w:styleId="8">
    <w:name w:val="annotation text"/>
    <w:basedOn w:val="1"/>
    <w:link w:val="48"/>
    <w:qFormat/>
    <w:uiPriority w:val="0"/>
    <w:pPr>
      <w:jc w:val="left"/>
    </w:pPr>
  </w:style>
  <w:style w:type="paragraph" w:styleId="9">
    <w:name w:val="Body Text First Indent"/>
    <w:basedOn w:val="10"/>
    <w:next w:val="12"/>
    <w:unhideWhenUsed/>
    <w:qFormat/>
    <w:uiPriority w:val="99"/>
    <w:pPr>
      <w:ind w:firstLine="420" w:firstLineChars="100"/>
    </w:pPr>
  </w:style>
  <w:style w:type="paragraph" w:styleId="10">
    <w:name w:val="Body Text"/>
    <w:basedOn w:val="1"/>
    <w:next w:val="11"/>
    <w:qFormat/>
    <w:uiPriority w:val="0"/>
    <w:pPr>
      <w:spacing w:after="120"/>
    </w:p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First Indent 2"/>
    <w:basedOn w:val="13"/>
    <w:next w:val="14"/>
    <w:qFormat/>
    <w:uiPriority w:val="0"/>
    <w:pPr>
      <w:adjustRightInd w:val="0"/>
      <w:spacing w:line="360" w:lineRule="auto"/>
      <w:ind w:firstLine="210"/>
      <w:textAlignment w:val="baseline"/>
    </w:pPr>
    <w:rPr>
      <w:rFonts w:ascii="Book Antiqua" w:hAnsi="Book Antiqua"/>
    </w:rPr>
  </w:style>
  <w:style w:type="paragraph" w:styleId="13">
    <w:name w:val="Body Text Indent"/>
    <w:basedOn w:val="1"/>
    <w:next w:val="1"/>
    <w:qFormat/>
    <w:uiPriority w:val="0"/>
    <w:pPr>
      <w:spacing w:line="480" w:lineRule="exact"/>
      <w:ind w:firstLine="480" w:firstLineChars="200"/>
    </w:pPr>
    <w:rPr>
      <w:rFonts w:ascii="宋体" w:hAnsi="宋体"/>
      <w:sz w:val="24"/>
    </w:rPr>
  </w:style>
  <w:style w:type="paragraph" w:styleId="14">
    <w:name w:val="Normal Indent"/>
    <w:basedOn w:val="1"/>
    <w:next w:val="15"/>
    <w:unhideWhenUsed/>
    <w:qFormat/>
    <w:uiPriority w:val="0"/>
    <w:pPr>
      <w:ind w:firstLine="420"/>
    </w:pPr>
  </w:style>
  <w:style w:type="paragraph" w:styleId="15">
    <w:name w:val="Body Text 2"/>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16">
    <w:name w:val="toa heading"/>
    <w:basedOn w:val="1"/>
    <w:next w:val="1"/>
    <w:qFormat/>
    <w:uiPriority w:val="0"/>
    <w:pPr>
      <w:spacing w:before="120"/>
    </w:pPr>
    <w:rPr>
      <w:rFonts w:ascii="Arial" w:hAnsi="Arial" w:cs="Arial"/>
      <w:sz w:val="24"/>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qFormat/>
    <w:uiPriority w:val="39"/>
    <w:pPr>
      <w:ind w:left="840" w:leftChars="400"/>
    </w:pPr>
  </w:style>
  <w:style w:type="paragraph" w:styleId="19">
    <w:name w:val="Body Text Indent 2"/>
    <w:basedOn w:val="1"/>
    <w:next w:val="1"/>
    <w:qFormat/>
    <w:uiPriority w:val="0"/>
    <w:pPr>
      <w:spacing w:after="120" w:line="480" w:lineRule="auto"/>
      <w:ind w:left="420" w:leftChars="200"/>
    </w:pPr>
    <w:rPr>
      <w:rFonts w:eastAsia="Times New Roman"/>
    </w:rPr>
  </w:style>
  <w:style w:type="paragraph" w:styleId="20">
    <w:name w:val="Balloon Text"/>
    <w:basedOn w:val="1"/>
    <w:link w:val="37"/>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rPr>
  </w:style>
  <w:style w:type="paragraph" w:styleId="22">
    <w:name w:val="envelope return"/>
    <w:basedOn w:val="1"/>
    <w:qFormat/>
    <w:uiPriority w:val="0"/>
    <w:pPr>
      <w:adjustRightInd w:val="0"/>
      <w:snapToGrid w:val="0"/>
      <w:spacing w:after="20" w:line="360" w:lineRule="auto"/>
      <w:ind w:firstLine="480" w:firstLineChars="200"/>
      <w:textAlignment w:val="baseline"/>
    </w:pPr>
    <w:rPr>
      <w:rFonts w:ascii="Arial" w:hAnsi="Arial" w:cs="Arial"/>
    </w:rPr>
  </w:style>
  <w:style w:type="paragraph" w:styleId="2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qFormat/>
    <w:uiPriority w:val="39"/>
  </w:style>
  <w:style w:type="paragraph" w:styleId="25">
    <w:name w:val="toc 4"/>
    <w:basedOn w:val="1"/>
    <w:next w:val="1"/>
    <w:qFormat/>
    <w:uiPriority w:val="0"/>
    <w:pPr>
      <w:ind w:left="1260" w:leftChars="600"/>
    </w:pPr>
  </w:style>
  <w:style w:type="paragraph" w:styleId="26">
    <w:name w:val="toc 2"/>
    <w:basedOn w:val="1"/>
    <w:next w:val="1"/>
    <w:unhideWhenUsed/>
    <w:qFormat/>
    <w:uiPriority w:val="39"/>
    <w:pPr>
      <w:ind w:left="420" w:leftChars="200"/>
    </w:pPr>
  </w:style>
  <w:style w:type="character" w:styleId="28">
    <w:name w:val="page number"/>
    <w:basedOn w:val="27"/>
    <w:qFormat/>
    <w:uiPriority w:val="0"/>
  </w:style>
  <w:style w:type="character" w:styleId="29">
    <w:name w:val="Hyperlink"/>
    <w:qFormat/>
    <w:uiPriority w:val="99"/>
    <w:rPr>
      <w:color w:val="0000FF"/>
      <w:u w:val="single"/>
    </w:rPr>
  </w:style>
  <w:style w:type="character" w:styleId="30">
    <w:name w:val="annotation reference"/>
    <w:basedOn w:val="27"/>
    <w:qFormat/>
    <w:uiPriority w:val="0"/>
    <w:rPr>
      <w:sz w:val="21"/>
      <w:szCs w:val="21"/>
    </w:rPr>
  </w:style>
  <w:style w:type="table" w:styleId="32">
    <w:name w:val="Table Grid"/>
    <w:basedOn w:val="3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Body text|1"/>
    <w:basedOn w:val="1"/>
    <w:qFormat/>
    <w:uiPriority w:val="0"/>
    <w:pPr>
      <w:spacing w:line="437" w:lineRule="auto"/>
    </w:pPr>
    <w:rPr>
      <w:rFonts w:ascii="宋体" w:hAnsi="宋体" w:cs="宋体"/>
      <w:sz w:val="20"/>
      <w:lang w:val="zh-CN" w:bidi="zh-CN"/>
    </w:rPr>
  </w:style>
  <w:style w:type="paragraph" w:customStyle="1" w:styleId="34">
    <w:name w:val="p"/>
    <w:basedOn w:val="1"/>
    <w:qFormat/>
    <w:uiPriority w:val="0"/>
    <w:pPr>
      <w:widowControl/>
      <w:spacing w:line="432" w:lineRule="auto"/>
      <w:jc w:val="left"/>
    </w:pPr>
    <w:rPr>
      <w:rFonts w:ascii="宋体" w:hAnsi="宋体" w:cs="宋体"/>
      <w:kern w:val="0"/>
      <w:sz w:val="24"/>
      <w:szCs w:val="24"/>
    </w:rPr>
  </w:style>
  <w:style w:type="character" w:customStyle="1" w:styleId="35">
    <w:name w:val="标题 4 Char"/>
    <w:qFormat/>
    <w:uiPriority w:val="0"/>
    <w:rPr>
      <w:rFonts w:ascii="Arial" w:hAnsi="Arial"/>
      <w:b/>
      <w:kern w:val="0"/>
      <w:sz w:val="20"/>
    </w:rPr>
  </w:style>
  <w:style w:type="paragraph" w:customStyle="1" w:styleId="36">
    <w:name w:val="节标题"/>
    <w:basedOn w:val="1"/>
    <w:next w:val="1"/>
    <w:qFormat/>
    <w:uiPriority w:val="0"/>
    <w:pPr>
      <w:widowControl/>
      <w:spacing w:line="578" w:lineRule="atLeast"/>
      <w:jc w:val="center"/>
      <w:textAlignment w:val="baseline"/>
    </w:pPr>
    <w:rPr>
      <w:color w:val="000000"/>
      <w:sz w:val="28"/>
      <w:u w:color="000000"/>
    </w:rPr>
  </w:style>
  <w:style w:type="character" w:customStyle="1" w:styleId="37">
    <w:name w:val="批注框文本 Char"/>
    <w:basedOn w:val="27"/>
    <w:link w:val="20"/>
    <w:qFormat/>
    <w:uiPriority w:val="0"/>
    <w:rPr>
      <w:kern w:val="2"/>
      <w:sz w:val="18"/>
      <w:szCs w:val="18"/>
    </w:rPr>
  </w:style>
  <w:style w:type="paragraph" w:customStyle="1" w:styleId="38">
    <w:name w:val="无间隔1"/>
    <w:basedOn w:val="1"/>
    <w:qFormat/>
    <w:uiPriority w:val="1"/>
    <w:pPr>
      <w:spacing w:line="400" w:lineRule="exact"/>
    </w:pPr>
    <w:rPr>
      <w:sz w:val="24"/>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Table Paragraph"/>
    <w:basedOn w:val="1"/>
    <w:qFormat/>
    <w:uiPriority w:val="0"/>
  </w:style>
  <w:style w:type="paragraph" w:customStyle="1" w:styleId="41">
    <w:name w:val="p0"/>
    <w:basedOn w:val="1"/>
    <w:unhideWhenUsed/>
    <w:qFormat/>
    <w:uiPriority w:val="0"/>
    <w:pPr>
      <w:widowControl/>
    </w:pPr>
    <w:rPr>
      <w:rFonts w:hint="eastAsia"/>
    </w:rPr>
  </w:style>
  <w:style w:type="character" w:customStyle="1" w:styleId="42">
    <w:name w:val="NormalCharacter"/>
    <w:semiHidden/>
    <w:qFormat/>
    <w:uiPriority w:val="0"/>
    <w:rPr>
      <w:kern w:val="2"/>
      <w:sz w:val="21"/>
      <w:szCs w:val="21"/>
      <w:lang w:val="en-US" w:eastAsia="zh-CN" w:bidi="ar-SA"/>
    </w:rPr>
  </w:style>
  <w:style w:type="paragraph" w:styleId="43">
    <w:name w:val="List Paragraph"/>
    <w:basedOn w:val="1"/>
    <w:qFormat/>
    <w:uiPriority w:val="99"/>
    <w:pPr>
      <w:ind w:firstLine="420" w:firstLineChars="200"/>
    </w:pPr>
  </w:style>
  <w:style w:type="character" w:customStyle="1" w:styleId="44">
    <w:name w:val="fontstyle01"/>
    <w:qFormat/>
    <w:uiPriority w:val="0"/>
    <w:rPr>
      <w:rFonts w:hint="eastAsia" w:ascii="黑体" w:hAnsi="宋体" w:eastAsia="黑体" w:cs="黑体"/>
      <w:color w:val="000000"/>
      <w:sz w:val="22"/>
      <w:szCs w:val="22"/>
    </w:rPr>
  </w:style>
  <w:style w:type="character" w:customStyle="1" w:styleId="45">
    <w:name w:val="标题 4 Char1"/>
    <w:link w:val="5"/>
    <w:qFormat/>
    <w:uiPriority w:val="0"/>
    <w:rPr>
      <w:rFonts w:ascii="Arial" w:hAnsi="Arial"/>
      <w:b/>
      <w:kern w:val="0"/>
      <w:sz w:val="20"/>
    </w:rPr>
  </w:style>
  <w:style w:type="character" w:customStyle="1" w:styleId="46">
    <w:name w:val="15"/>
    <w:qFormat/>
    <w:uiPriority w:val="0"/>
    <w:rPr>
      <w:rFonts w:hint="default" w:ascii="Times New Roman" w:hAnsi="Times New Roman" w:cs="Times New Roman"/>
      <w:color w:val="464445"/>
      <w:u w:val="none"/>
    </w:rPr>
  </w:style>
  <w:style w:type="paragraph" w:customStyle="1" w:styleId="47">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文字 Char"/>
    <w:basedOn w:val="27"/>
    <w:link w:val="8"/>
    <w:qFormat/>
    <w:uiPriority w:val="0"/>
    <w:rPr>
      <w:kern w:val="2"/>
      <w:sz w:val="21"/>
    </w:rPr>
  </w:style>
  <w:style w:type="character" w:customStyle="1" w:styleId="49">
    <w:name w:val="批注主题 Char"/>
    <w:basedOn w:val="48"/>
    <w:link w:val="7"/>
    <w:qFormat/>
    <w:uiPriority w:val="0"/>
    <w:rPr>
      <w:b/>
      <w:bCs/>
      <w:kern w:val="2"/>
      <w:sz w:val="21"/>
    </w:rPr>
  </w:style>
  <w:style w:type="paragraph" w:customStyle="1" w:styleId="50">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4932</Words>
  <Characters>28118</Characters>
  <Lines>234</Lines>
  <Paragraphs>65</Paragraphs>
  <TotalTime>0</TotalTime>
  <ScaleCrop>false</ScaleCrop>
  <LinksUpToDate>false</LinksUpToDate>
  <CharactersWithSpaces>32985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2022-11-01T07:18:00Z</dcterms:created>
  <dc:creator>河南华明工程造价咨询有限公司:陈志成</dc:creator>
  <cp:lastModifiedBy>方大国际工程咨询股份有限公司:金广涛</cp:lastModifiedBy>
  <cp:lastPrinted>2022-06-30T03:04:00Z</cp:lastPrinted>
  <dcterms:modified xsi:type="dcterms:W3CDTF">2022-11-10T06:33:11Z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844A0ED7009442D5854672D001936FCF</vt:lpwstr>
  </property>
</Properties>
</file>