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5FDE9">
      <w:pPr>
        <w:tabs>
          <w:tab w:val="left" w:pos="6663"/>
        </w:tabs>
        <w:spacing w:line="480" w:lineRule="auto"/>
        <w:jc w:val="center"/>
        <w:rPr>
          <w:rFonts w:hint="eastAsia" w:ascii="黑体" w:hAnsi="宋体" w:eastAsia="黑体"/>
          <w:color w:val="000000"/>
          <w:sz w:val="44"/>
          <w:szCs w:val="44"/>
          <w:highlight w:val="none"/>
        </w:rPr>
      </w:pPr>
      <w:r>
        <w:drawing>
          <wp:inline distT="0" distB="0" distL="114300" distR="114300">
            <wp:extent cx="5855970" cy="8294370"/>
            <wp:effectExtent l="0" t="0" r="1143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855970" cy="8294370"/>
                    </a:xfrm>
                    <a:prstGeom prst="rect">
                      <a:avLst/>
                    </a:prstGeom>
                    <a:noFill/>
                    <a:ln>
                      <a:noFill/>
                    </a:ln>
                  </pic:spPr>
                </pic:pic>
              </a:graphicData>
            </a:graphic>
          </wp:inline>
        </w:drawing>
      </w:r>
      <w:r>
        <w:rPr>
          <w:rFonts w:hint="eastAsia" w:ascii="黑体" w:hAnsi="宋体" w:eastAsia="黑体"/>
          <w:color w:val="000000"/>
          <w:sz w:val="44"/>
          <w:szCs w:val="44"/>
          <w:highlight w:val="none"/>
        </w:rPr>
        <w:br w:type="page"/>
      </w:r>
      <w:r>
        <w:rPr>
          <w:rFonts w:hint="eastAsia" w:ascii="黑体" w:hAnsi="宋体" w:eastAsia="黑体"/>
          <w:color w:val="000000"/>
          <w:sz w:val="44"/>
          <w:szCs w:val="44"/>
          <w:highlight w:val="none"/>
        </w:rPr>
        <w:t>目    录</w:t>
      </w:r>
    </w:p>
    <w:p w14:paraId="5E59A3F8">
      <w:pPr>
        <w:pStyle w:val="5"/>
        <w:tabs>
          <w:tab w:val="right" w:leader="dot" w:pos="8296"/>
        </w:tabs>
        <w:rPr>
          <w:rFonts w:ascii="Calibri" w:hAnsi="Calibri"/>
          <w:color w:val="000000"/>
          <w:szCs w:val="22"/>
          <w:highlight w:val="none"/>
        </w:rPr>
      </w:pPr>
      <w:r>
        <w:rPr>
          <w:rFonts w:hint="eastAsia" w:ascii="黑体" w:hAnsi="宋体" w:eastAsia="黑体"/>
          <w:color w:val="000000"/>
          <w:sz w:val="28"/>
          <w:szCs w:val="28"/>
          <w:highlight w:val="none"/>
        </w:rPr>
        <w:fldChar w:fldCharType="begin"/>
      </w:r>
      <w:r>
        <w:rPr>
          <w:rFonts w:hint="eastAsia" w:ascii="黑体" w:hAnsi="宋体" w:eastAsia="黑体"/>
          <w:color w:val="000000"/>
          <w:sz w:val="28"/>
          <w:szCs w:val="28"/>
          <w:highlight w:val="none"/>
        </w:rPr>
        <w:instrText xml:space="preserve"> TOC \o "1-2" \h \z \u </w:instrText>
      </w:r>
      <w:r>
        <w:rPr>
          <w:rFonts w:ascii="黑体" w:hAnsi="宋体" w:eastAsia="黑体"/>
          <w:color w:val="000000"/>
          <w:sz w:val="28"/>
          <w:szCs w:val="28"/>
          <w:highlight w:val="none"/>
        </w:rPr>
        <w:fldChar w:fldCharType="separate"/>
      </w: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"_Toc155799709"</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hAnsi="黑体" w:eastAsia="黑体"/>
          <w:b/>
          <w:bCs/>
          <w:color w:val="000000"/>
          <w:kern w:val="44"/>
          <w:highlight w:val="none"/>
        </w:rPr>
        <w:t>第一章</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招标公告</w:t>
      </w:r>
      <w:r>
        <w:rPr>
          <w:color w:val="000000"/>
          <w:highlight w:val="none"/>
        </w:rPr>
        <w:tab/>
      </w:r>
      <w:r>
        <w:rPr>
          <w:color w:val="000000"/>
          <w:highlight w:val="none"/>
        </w:rPr>
        <w:fldChar w:fldCharType="begin"/>
      </w:r>
      <w:r>
        <w:rPr>
          <w:color w:val="000000"/>
          <w:highlight w:val="none"/>
        </w:rPr>
        <w:instrText xml:space="preserve"> PAGEREF _Toc155799709 \h </w:instrText>
      </w:r>
      <w:r>
        <w:rPr>
          <w:color w:val="000000"/>
          <w:highlight w:val="none"/>
        </w:rPr>
        <w:fldChar w:fldCharType="separate"/>
      </w:r>
      <w:r>
        <w:rPr>
          <w:color w:val="000000"/>
          <w:highlight w:val="none"/>
        </w:rPr>
        <w:t>3</w:t>
      </w:r>
      <w:r>
        <w:rPr>
          <w:color w:val="000000"/>
          <w:highlight w:val="none"/>
        </w:rPr>
        <w:fldChar w:fldCharType="end"/>
      </w:r>
      <w:r>
        <w:rPr>
          <w:rStyle w:val="11"/>
          <w:color w:val="000000"/>
          <w:highlight w:val="none"/>
        </w:rPr>
        <w:fldChar w:fldCharType="end"/>
      </w:r>
    </w:p>
    <w:p w14:paraId="0C046CDD">
      <w:pPr>
        <w:pStyle w:val="5"/>
        <w:tabs>
          <w:tab w:val="right" w:leader="dot" w:pos="8296"/>
        </w:tabs>
        <w:rPr>
          <w:rFonts w:ascii="Calibri" w:hAnsi="Calibri"/>
          <w:color w:val="000000"/>
          <w:szCs w:val="22"/>
          <w:highlight w:val="none"/>
        </w:rPr>
      </w:pP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"_Toc155799710"</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hAnsi="黑体" w:eastAsia="黑体"/>
          <w:b/>
          <w:bCs/>
          <w:color w:val="000000"/>
          <w:kern w:val="44"/>
          <w:highlight w:val="none"/>
        </w:rPr>
        <w:t>第二章</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投标人须知</w:t>
      </w:r>
      <w:r>
        <w:rPr>
          <w:color w:val="000000"/>
          <w:highlight w:val="none"/>
        </w:rPr>
        <w:tab/>
      </w:r>
      <w:r>
        <w:rPr>
          <w:color w:val="000000"/>
          <w:highlight w:val="none"/>
        </w:rPr>
        <w:fldChar w:fldCharType="begin"/>
      </w:r>
      <w:r>
        <w:rPr>
          <w:color w:val="000000"/>
          <w:highlight w:val="none"/>
        </w:rPr>
        <w:instrText xml:space="preserve"> PAGEREF _Toc155799710 \h </w:instrText>
      </w:r>
      <w:r>
        <w:rPr>
          <w:color w:val="000000"/>
          <w:highlight w:val="none"/>
        </w:rPr>
        <w:fldChar w:fldCharType="separate"/>
      </w:r>
      <w:r>
        <w:rPr>
          <w:color w:val="000000"/>
          <w:highlight w:val="none"/>
        </w:rPr>
        <w:t>7</w:t>
      </w:r>
      <w:r>
        <w:rPr>
          <w:color w:val="000000"/>
          <w:highlight w:val="none"/>
        </w:rPr>
        <w:fldChar w:fldCharType="end"/>
      </w:r>
      <w:r>
        <w:rPr>
          <w:rStyle w:val="11"/>
          <w:color w:val="000000"/>
          <w:highlight w:val="none"/>
        </w:rPr>
        <w:fldChar w:fldCharType="end"/>
      </w:r>
    </w:p>
    <w:p w14:paraId="5BD48AC2">
      <w:pPr>
        <w:pStyle w:val="5"/>
        <w:tabs>
          <w:tab w:val="right" w:leader="dot" w:pos="8296"/>
        </w:tabs>
        <w:rPr>
          <w:rFonts w:ascii="Calibri" w:hAnsi="Calibri"/>
          <w:color w:val="000000"/>
          <w:szCs w:val="22"/>
          <w:highlight w:val="none"/>
        </w:rPr>
      </w:pP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"_Toc155799721"</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hAnsi="黑体" w:eastAsia="黑体"/>
          <w:b/>
          <w:bCs/>
          <w:color w:val="000000"/>
          <w:kern w:val="44"/>
          <w:highlight w:val="none"/>
        </w:rPr>
        <w:t>第三章</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评标办法（综合评估法）</w:t>
      </w:r>
      <w:r>
        <w:rPr>
          <w:color w:val="000000"/>
          <w:highlight w:val="none"/>
        </w:rPr>
        <w:tab/>
      </w:r>
      <w:r>
        <w:rPr>
          <w:color w:val="000000"/>
          <w:highlight w:val="none"/>
        </w:rPr>
        <w:fldChar w:fldCharType="begin"/>
      </w:r>
      <w:r>
        <w:rPr>
          <w:color w:val="000000"/>
          <w:highlight w:val="none"/>
        </w:rPr>
        <w:instrText xml:space="preserve"> PAGEREF _Toc155799721 \h </w:instrText>
      </w:r>
      <w:r>
        <w:rPr>
          <w:color w:val="000000"/>
          <w:highlight w:val="none"/>
        </w:rPr>
        <w:fldChar w:fldCharType="separate"/>
      </w:r>
      <w:r>
        <w:rPr>
          <w:color w:val="000000"/>
          <w:highlight w:val="none"/>
        </w:rPr>
        <w:t>29</w:t>
      </w:r>
      <w:r>
        <w:rPr>
          <w:color w:val="000000"/>
          <w:highlight w:val="none"/>
        </w:rPr>
        <w:fldChar w:fldCharType="end"/>
      </w:r>
      <w:r>
        <w:rPr>
          <w:rStyle w:val="11"/>
          <w:color w:val="000000"/>
          <w:highlight w:val="none"/>
        </w:rPr>
        <w:fldChar w:fldCharType="end"/>
      </w:r>
    </w:p>
    <w:p w14:paraId="0E16D568">
      <w:pPr>
        <w:pStyle w:val="5"/>
        <w:tabs>
          <w:tab w:val="right" w:leader="dot" w:pos="8296"/>
        </w:tabs>
        <w:rPr>
          <w:rFonts w:ascii="Calibri" w:hAnsi="Calibri"/>
          <w:color w:val="000000"/>
          <w:szCs w:val="22"/>
          <w:highlight w:val="none"/>
        </w:rPr>
      </w:pP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"_Toc155799727"</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eastAsia="黑体"/>
          <w:b/>
          <w:bCs/>
          <w:color w:val="000000"/>
          <w:kern w:val="44"/>
          <w:highlight w:val="none"/>
        </w:rPr>
        <w:t>第四章</w:t>
      </w:r>
      <w:r>
        <w:rPr>
          <w:rStyle w:val="11"/>
          <w:rFonts w:ascii="黑体" w:eastAsia="黑体"/>
          <w:b/>
          <w:bCs/>
          <w:color w:val="000000"/>
          <w:kern w:val="44"/>
          <w:highlight w:val="none"/>
        </w:rPr>
        <w:t xml:space="preserve">  </w:t>
      </w:r>
      <w:r>
        <w:rPr>
          <w:rStyle w:val="11"/>
          <w:rFonts w:hint="eastAsia" w:ascii="黑体" w:eastAsia="黑体"/>
          <w:b/>
          <w:bCs/>
          <w:color w:val="000000"/>
          <w:kern w:val="44"/>
          <w:highlight w:val="none"/>
        </w:rPr>
        <w:t>合同条款及格式</w:t>
      </w:r>
      <w:r>
        <w:rPr>
          <w:color w:val="000000"/>
          <w:highlight w:val="none"/>
        </w:rPr>
        <w:tab/>
      </w:r>
      <w:r>
        <w:rPr>
          <w:color w:val="000000"/>
          <w:highlight w:val="none"/>
        </w:rPr>
        <w:fldChar w:fldCharType="begin"/>
      </w:r>
      <w:r>
        <w:rPr>
          <w:color w:val="000000"/>
          <w:highlight w:val="none"/>
        </w:rPr>
        <w:instrText xml:space="preserve"> PAGEREF _Toc155799727 \h </w:instrText>
      </w:r>
      <w:r>
        <w:rPr>
          <w:color w:val="000000"/>
          <w:highlight w:val="none"/>
        </w:rPr>
        <w:fldChar w:fldCharType="separate"/>
      </w:r>
      <w:r>
        <w:rPr>
          <w:color w:val="000000"/>
          <w:highlight w:val="none"/>
        </w:rPr>
        <w:t>39</w:t>
      </w:r>
      <w:r>
        <w:rPr>
          <w:color w:val="000000"/>
          <w:highlight w:val="none"/>
        </w:rPr>
        <w:fldChar w:fldCharType="end"/>
      </w:r>
      <w:r>
        <w:rPr>
          <w:rStyle w:val="11"/>
          <w:color w:val="000000"/>
          <w:highlight w:val="none"/>
        </w:rPr>
        <w:fldChar w:fldCharType="end"/>
      </w:r>
    </w:p>
    <w:p w14:paraId="584827B6">
      <w:pPr>
        <w:pStyle w:val="5"/>
        <w:tabs>
          <w:tab w:val="right" w:leader="dot" w:pos="8296"/>
        </w:tabs>
        <w:rPr>
          <w:rFonts w:ascii="Calibri" w:hAnsi="Calibri"/>
          <w:color w:val="000000"/>
          <w:szCs w:val="22"/>
          <w:highlight w:val="none"/>
        </w:rPr>
      </w:pP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"_Toc155799771"</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hAnsi="黑体" w:eastAsia="黑体"/>
          <w:b/>
          <w:bCs/>
          <w:color w:val="000000"/>
          <w:kern w:val="44"/>
          <w:highlight w:val="none"/>
        </w:rPr>
        <w:t>第五章</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工程量清单</w:t>
      </w:r>
      <w:r>
        <w:rPr>
          <w:color w:val="000000"/>
          <w:highlight w:val="none"/>
        </w:rPr>
        <w:tab/>
      </w:r>
      <w:r>
        <w:rPr>
          <w:color w:val="000000"/>
          <w:highlight w:val="none"/>
        </w:rPr>
        <w:fldChar w:fldCharType="begin"/>
      </w:r>
      <w:r>
        <w:rPr>
          <w:color w:val="000000"/>
          <w:highlight w:val="none"/>
        </w:rPr>
        <w:instrText xml:space="preserve"> PAGEREF _Toc155799771 \h </w:instrText>
      </w:r>
      <w:r>
        <w:rPr>
          <w:color w:val="000000"/>
          <w:highlight w:val="none"/>
        </w:rPr>
        <w:fldChar w:fldCharType="separate"/>
      </w:r>
      <w:r>
        <w:rPr>
          <w:color w:val="000000"/>
          <w:highlight w:val="none"/>
        </w:rPr>
        <w:t>75</w:t>
      </w:r>
      <w:r>
        <w:rPr>
          <w:color w:val="000000"/>
          <w:highlight w:val="none"/>
        </w:rPr>
        <w:fldChar w:fldCharType="end"/>
      </w:r>
      <w:r>
        <w:rPr>
          <w:rStyle w:val="11"/>
          <w:color w:val="000000"/>
          <w:highlight w:val="none"/>
        </w:rPr>
        <w:fldChar w:fldCharType="end"/>
      </w:r>
    </w:p>
    <w:p w14:paraId="5C69834F">
      <w:pPr>
        <w:pStyle w:val="5"/>
        <w:tabs>
          <w:tab w:val="right" w:leader="dot" w:pos="8296"/>
        </w:tabs>
        <w:rPr>
          <w:rFonts w:ascii="Calibri" w:hAnsi="Calibri"/>
          <w:color w:val="000000"/>
          <w:szCs w:val="22"/>
          <w:highlight w:val="none"/>
        </w:rPr>
      </w:pP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"_Toc155799772"</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hAnsi="黑体" w:eastAsia="黑体"/>
          <w:b/>
          <w:bCs/>
          <w:color w:val="000000"/>
          <w:kern w:val="44"/>
          <w:highlight w:val="none"/>
        </w:rPr>
        <w:t>第六章</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图</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纸</w:t>
      </w:r>
      <w:r>
        <w:rPr>
          <w:color w:val="000000"/>
          <w:highlight w:val="none"/>
        </w:rPr>
        <w:tab/>
      </w:r>
      <w:r>
        <w:rPr>
          <w:color w:val="000000"/>
          <w:highlight w:val="none"/>
        </w:rPr>
        <w:fldChar w:fldCharType="begin"/>
      </w:r>
      <w:r>
        <w:rPr>
          <w:color w:val="000000"/>
          <w:highlight w:val="none"/>
        </w:rPr>
        <w:instrText xml:space="preserve"> PAGEREF _Toc155799772 \h </w:instrText>
      </w:r>
      <w:r>
        <w:rPr>
          <w:color w:val="000000"/>
          <w:highlight w:val="none"/>
        </w:rPr>
        <w:fldChar w:fldCharType="separate"/>
      </w:r>
      <w:r>
        <w:rPr>
          <w:color w:val="000000"/>
          <w:highlight w:val="none"/>
        </w:rPr>
        <w:t>76</w:t>
      </w:r>
      <w:r>
        <w:rPr>
          <w:color w:val="000000"/>
          <w:highlight w:val="none"/>
        </w:rPr>
        <w:fldChar w:fldCharType="end"/>
      </w:r>
      <w:r>
        <w:rPr>
          <w:rStyle w:val="11"/>
          <w:color w:val="000000"/>
          <w:highlight w:val="none"/>
        </w:rPr>
        <w:fldChar w:fldCharType="end"/>
      </w:r>
    </w:p>
    <w:p w14:paraId="76365280">
      <w:pPr>
        <w:pStyle w:val="5"/>
        <w:tabs>
          <w:tab w:val="right" w:leader="dot" w:pos="8296"/>
        </w:tabs>
        <w:rPr>
          <w:rFonts w:ascii="Calibri" w:hAnsi="Calibri"/>
          <w:color w:val="000000"/>
          <w:szCs w:val="22"/>
          <w:highlight w:val="none"/>
        </w:rPr>
      </w:pP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"_Toc155799773"</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hAnsi="黑体" w:eastAsia="黑体"/>
          <w:b/>
          <w:bCs/>
          <w:color w:val="000000"/>
          <w:kern w:val="44"/>
          <w:highlight w:val="none"/>
        </w:rPr>
        <w:t>第七章</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技术标准和要求</w:t>
      </w:r>
      <w:r>
        <w:rPr>
          <w:color w:val="000000"/>
          <w:highlight w:val="none"/>
        </w:rPr>
        <w:tab/>
      </w:r>
      <w:r>
        <w:rPr>
          <w:color w:val="000000"/>
          <w:highlight w:val="none"/>
        </w:rPr>
        <w:fldChar w:fldCharType="begin"/>
      </w:r>
      <w:r>
        <w:rPr>
          <w:color w:val="000000"/>
          <w:highlight w:val="none"/>
        </w:rPr>
        <w:instrText xml:space="preserve"> PAGEREF _Toc155799773 \h </w:instrText>
      </w:r>
      <w:r>
        <w:rPr>
          <w:color w:val="000000"/>
          <w:highlight w:val="none"/>
        </w:rPr>
        <w:fldChar w:fldCharType="separate"/>
      </w:r>
      <w:r>
        <w:rPr>
          <w:color w:val="000000"/>
          <w:highlight w:val="none"/>
        </w:rPr>
        <w:t>77</w:t>
      </w:r>
      <w:r>
        <w:rPr>
          <w:color w:val="000000"/>
          <w:highlight w:val="none"/>
        </w:rPr>
        <w:fldChar w:fldCharType="end"/>
      </w:r>
      <w:r>
        <w:rPr>
          <w:rStyle w:val="11"/>
          <w:color w:val="000000"/>
          <w:highlight w:val="none"/>
        </w:rPr>
        <w:fldChar w:fldCharType="end"/>
      </w:r>
    </w:p>
    <w:p w14:paraId="6A094466">
      <w:pPr>
        <w:pStyle w:val="5"/>
        <w:tabs>
          <w:tab w:val="right" w:leader="dot" w:pos="8296"/>
        </w:tabs>
        <w:rPr>
          <w:rFonts w:ascii="Calibri" w:hAnsi="Calibri"/>
          <w:color w:val="000000"/>
          <w:szCs w:val="22"/>
          <w:highlight w:val="none"/>
        </w:rPr>
      </w:pPr>
      <w:r>
        <w:rPr>
          <w:rStyle w:val="11"/>
          <w:color w:val="000000"/>
          <w:highlight w:val="none"/>
        </w:rPr>
        <w:fldChar w:fldCharType="begin"/>
      </w:r>
      <w:r>
        <w:rPr>
          <w:rStyle w:val="11"/>
          <w:color w:val="000000"/>
          <w:highlight w:val="none"/>
        </w:rPr>
        <w:instrText xml:space="preserve"> </w:instrText>
      </w:r>
      <w:r>
        <w:rPr>
          <w:color w:val="000000"/>
          <w:highlight w:val="none"/>
        </w:rPr>
        <w:instrText xml:space="preserve">HYPERLINK \l "_Toc155799774"</w:instrText>
      </w:r>
      <w:r>
        <w:rPr>
          <w:rStyle w:val="11"/>
          <w:color w:val="000000"/>
          <w:highlight w:val="none"/>
        </w:rPr>
        <w:instrText xml:space="preserve"> </w:instrText>
      </w:r>
      <w:r>
        <w:rPr>
          <w:rStyle w:val="11"/>
          <w:color w:val="000000"/>
          <w:highlight w:val="none"/>
        </w:rPr>
        <w:fldChar w:fldCharType="separate"/>
      </w:r>
      <w:r>
        <w:rPr>
          <w:rStyle w:val="11"/>
          <w:rFonts w:hint="eastAsia" w:ascii="黑体" w:hAnsi="黑体" w:eastAsia="黑体"/>
          <w:b/>
          <w:bCs/>
          <w:color w:val="000000"/>
          <w:kern w:val="44"/>
          <w:highlight w:val="none"/>
        </w:rPr>
        <w:t>第八章</w:t>
      </w:r>
      <w:r>
        <w:rPr>
          <w:rStyle w:val="11"/>
          <w:rFonts w:ascii="黑体" w:hAnsi="黑体" w:eastAsia="黑体"/>
          <w:b/>
          <w:bCs/>
          <w:color w:val="000000"/>
          <w:kern w:val="44"/>
          <w:highlight w:val="none"/>
        </w:rPr>
        <w:t xml:space="preserve">  </w:t>
      </w:r>
      <w:r>
        <w:rPr>
          <w:rStyle w:val="11"/>
          <w:rFonts w:hint="eastAsia" w:ascii="黑体" w:hAnsi="黑体" w:eastAsia="黑体"/>
          <w:b/>
          <w:bCs/>
          <w:color w:val="000000"/>
          <w:kern w:val="44"/>
          <w:highlight w:val="none"/>
        </w:rPr>
        <w:t>投标文件格式</w:t>
      </w:r>
      <w:r>
        <w:rPr>
          <w:color w:val="000000"/>
          <w:highlight w:val="none"/>
        </w:rPr>
        <w:tab/>
      </w:r>
      <w:r>
        <w:rPr>
          <w:color w:val="000000"/>
          <w:highlight w:val="none"/>
        </w:rPr>
        <w:fldChar w:fldCharType="begin"/>
      </w:r>
      <w:r>
        <w:rPr>
          <w:color w:val="000000"/>
          <w:highlight w:val="none"/>
        </w:rPr>
        <w:instrText xml:space="preserve"> PAGEREF _Toc155799774 \h </w:instrText>
      </w:r>
      <w:r>
        <w:rPr>
          <w:color w:val="000000"/>
          <w:highlight w:val="none"/>
        </w:rPr>
        <w:fldChar w:fldCharType="separate"/>
      </w:r>
      <w:r>
        <w:rPr>
          <w:color w:val="000000"/>
          <w:highlight w:val="none"/>
        </w:rPr>
        <w:t>78</w:t>
      </w:r>
      <w:r>
        <w:rPr>
          <w:color w:val="000000"/>
          <w:highlight w:val="none"/>
        </w:rPr>
        <w:fldChar w:fldCharType="end"/>
      </w:r>
      <w:r>
        <w:rPr>
          <w:rStyle w:val="11"/>
          <w:color w:val="000000"/>
          <w:highlight w:val="none"/>
        </w:rPr>
        <w:fldChar w:fldCharType="end"/>
      </w:r>
    </w:p>
    <w:p w14:paraId="09828B23">
      <w:pPr>
        <w:rPr>
          <w:rFonts w:hint="eastAsia"/>
          <w:color w:val="000000"/>
          <w:highlight w:val="none"/>
        </w:rPr>
      </w:pPr>
    </w:p>
    <w:p w14:paraId="584137A2">
      <w:pPr>
        <w:rPr>
          <w:rFonts w:hint="eastAsia"/>
          <w:color w:val="000000"/>
          <w:highlight w:val="none"/>
        </w:rPr>
      </w:pPr>
    </w:p>
    <w:p w14:paraId="1E63905A">
      <w:pPr>
        <w:rPr>
          <w:rFonts w:hint="eastAsia"/>
          <w:color w:val="000000"/>
          <w:highlight w:val="none"/>
        </w:rPr>
      </w:pPr>
    </w:p>
    <w:p w14:paraId="11A24EBF">
      <w:pPr>
        <w:rPr>
          <w:rFonts w:hint="eastAsia"/>
          <w:color w:val="000000"/>
          <w:highlight w:val="none"/>
        </w:rPr>
      </w:pPr>
    </w:p>
    <w:p w14:paraId="08E01485">
      <w:pPr>
        <w:rPr>
          <w:color w:val="000000"/>
          <w:highlight w:val="none"/>
        </w:rPr>
      </w:pPr>
    </w:p>
    <w:p w14:paraId="3D7E7622">
      <w:pPr>
        <w:keepNext/>
        <w:keepLines/>
        <w:adjustRightInd w:val="0"/>
        <w:snapToGrid w:val="0"/>
        <w:spacing w:before="340" w:after="330"/>
        <w:jc w:val="center"/>
        <w:outlineLvl w:val="0"/>
        <w:rPr>
          <w:rFonts w:hint="eastAsia" w:ascii="黑体" w:hAnsi="宋体" w:eastAsia="黑体"/>
          <w:b/>
          <w:bCs/>
          <w:color w:val="000000"/>
          <w:kern w:val="44"/>
          <w:sz w:val="28"/>
          <w:szCs w:val="28"/>
          <w:highlight w:val="none"/>
        </w:rPr>
      </w:pPr>
      <w:r>
        <w:rPr>
          <w:rFonts w:hint="eastAsia" w:ascii="黑体" w:hAnsi="宋体" w:eastAsia="黑体"/>
          <w:b/>
          <w:bCs/>
          <w:color w:val="000000"/>
          <w:kern w:val="44"/>
          <w:sz w:val="28"/>
          <w:szCs w:val="28"/>
          <w:highlight w:val="none"/>
        </w:rPr>
        <w:fldChar w:fldCharType="end"/>
      </w:r>
      <w:bookmarkStart w:id="0" w:name="_Toc155799709"/>
    </w:p>
    <w:p w14:paraId="3E71F7BC">
      <w:pPr>
        <w:keepNext/>
        <w:keepLines/>
        <w:adjustRightInd w:val="0"/>
        <w:snapToGrid w:val="0"/>
        <w:spacing w:before="340" w:after="330"/>
        <w:jc w:val="center"/>
        <w:outlineLvl w:val="0"/>
        <w:rPr>
          <w:rFonts w:hint="eastAsia" w:ascii="黑体" w:hAnsi="宋体" w:eastAsia="黑体"/>
          <w:b/>
          <w:bCs/>
          <w:color w:val="000000"/>
          <w:kern w:val="44"/>
          <w:sz w:val="28"/>
          <w:szCs w:val="28"/>
          <w:highlight w:val="none"/>
        </w:rPr>
      </w:pPr>
      <w:r>
        <w:rPr>
          <w:rFonts w:hint="eastAsia" w:ascii="黑体" w:hAnsi="宋体" w:eastAsia="黑体"/>
          <w:b/>
          <w:bCs/>
          <w:color w:val="000000"/>
          <w:kern w:val="44"/>
          <w:sz w:val="28"/>
          <w:szCs w:val="28"/>
          <w:highlight w:val="none"/>
        </w:rPr>
        <w:br w:type="page"/>
      </w:r>
      <w:r>
        <w:rPr>
          <w:rFonts w:hint="eastAsia" w:ascii="黑体" w:hAnsi="黑体" w:eastAsia="黑体"/>
          <w:b/>
          <w:bCs/>
          <w:color w:val="000000"/>
          <w:kern w:val="44"/>
          <w:sz w:val="32"/>
          <w:szCs w:val="32"/>
          <w:highlight w:val="none"/>
        </w:rPr>
        <w:t>第一章  招标公告</w:t>
      </w:r>
      <w:bookmarkEnd w:id="0"/>
    </w:p>
    <w:p w14:paraId="5C23A337">
      <w:pPr>
        <w:widowControl/>
        <w:spacing w:line="360" w:lineRule="auto"/>
        <w:jc w:val="center"/>
        <w:rPr>
          <w:b/>
          <w:color w:val="auto"/>
          <w:sz w:val="28"/>
          <w:szCs w:val="28"/>
          <w:highlight w:val="none"/>
        </w:rPr>
      </w:pPr>
      <w:r>
        <w:rPr>
          <w:rFonts w:hint="eastAsia"/>
          <w:b/>
          <w:color w:val="auto"/>
          <w:sz w:val="28"/>
          <w:szCs w:val="28"/>
          <w:highlight w:val="none"/>
        </w:rPr>
        <w:t>【</w:t>
      </w:r>
      <w:r>
        <w:rPr>
          <w:rFonts w:hint="eastAsia"/>
          <w:b/>
          <w:color w:val="auto"/>
          <w:sz w:val="28"/>
          <w:szCs w:val="28"/>
          <w:highlight w:val="none"/>
          <w:lang w:val="en-US" w:eastAsia="zh-CN"/>
        </w:rPr>
        <w:t>平公资建2024438号</w:t>
      </w:r>
      <w:r>
        <w:rPr>
          <w:rFonts w:hint="eastAsia"/>
          <w:b/>
          <w:color w:val="auto"/>
          <w:sz w:val="28"/>
          <w:szCs w:val="28"/>
          <w:highlight w:val="none"/>
        </w:rPr>
        <w:t>】</w:t>
      </w:r>
      <w:r>
        <w:rPr>
          <w:rFonts w:hint="eastAsia"/>
          <w:b/>
          <w:color w:val="auto"/>
          <w:sz w:val="28"/>
          <w:szCs w:val="28"/>
          <w:highlight w:val="none"/>
          <w:lang w:eastAsia="zh-CN"/>
        </w:rPr>
        <w:t>平顶山市湛河区南环路街道办事处消防队家属院、马庄街道办事处马办家属院、北渡街道办事处市一中家属院、荆山街道办事处市农科院家属院等7个老旧小区主体改造项目</w:t>
      </w:r>
      <w:r>
        <w:rPr>
          <w:rFonts w:hint="eastAsia"/>
          <w:b/>
          <w:color w:val="auto"/>
          <w:sz w:val="28"/>
          <w:szCs w:val="28"/>
          <w:highlight w:val="none"/>
        </w:rPr>
        <w:t>公开招标公告</w:t>
      </w:r>
    </w:p>
    <w:p w14:paraId="503B7B37">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一、招标条件</w:t>
      </w:r>
    </w:p>
    <w:p w14:paraId="780F3106">
      <w:pPr>
        <w:spacing w:line="360" w:lineRule="auto"/>
        <w:rPr>
          <w:rFonts w:ascii="宋体" w:hAnsi="宋体"/>
          <w:color w:val="000000"/>
          <w:szCs w:val="21"/>
          <w:highlight w:val="none"/>
        </w:rPr>
      </w:pPr>
      <w:r>
        <w:rPr>
          <w:rFonts w:hint="eastAsia" w:ascii="宋体" w:hAnsi="宋体"/>
          <w:color w:val="000000"/>
          <w:szCs w:val="21"/>
          <w:highlight w:val="none"/>
          <w:lang w:eastAsia="zh-CN"/>
        </w:rPr>
        <w:t>平顶山市湛河区南环路街道办事处消防队家属院、马庄街道办事处马办家属院、北渡街道办事处市一中家属院、荆山街道办事处市农科院家属院等7个老旧小区主体改造项目，统一项目代码：2408-410411-04-01-927925，</w:t>
      </w:r>
      <w:r>
        <w:rPr>
          <w:rFonts w:hint="eastAsia" w:ascii="宋体" w:hAnsi="宋体"/>
          <w:color w:val="000000"/>
          <w:szCs w:val="21"/>
          <w:highlight w:val="none"/>
        </w:rPr>
        <w:t>经有关部门批准建设，资金来源为</w:t>
      </w:r>
      <w:r>
        <w:rPr>
          <w:rFonts w:hint="eastAsia" w:ascii="宋体" w:hAnsi="宋体"/>
          <w:color w:val="000000"/>
          <w:szCs w:val="21"/>
          <w:highlight w:val="none"/>
          <w:lang w:val="en-US" w:eastAsia="zh-CN"/>
        </w:rPr>
        <w:t>上级资金及区财政资金解决</w:t>
      </w:r>
      <w:r>
        <w:rPr>
          <w:rFonts w:hint="eastAsia" w:ascii="宋体" w:hAnsi="宋体"/>
          <w:color w:val="000000"/>
          <w:szCs w:val="21"/>
          <w:highlight w:val="none"/>
        </w:rPr>
        <w:t>，出资比例为</w:t>
      </w:r>
      <w:r>
        <w:rPr>
          <w:rFonts w:ascii="宋体" w:hAnsi="宋体"/>
          <w:color w:val="000000"/>
          <w:szCs w:val="21"/>
          <w:highlight w:val="none"/>
        </w:rPr>
        <w:t>100%</w:t>
      </w:r>
      <w:r>
        <w:rPr>
          <w:rFonts w:hint="eastAsia" w:ascii="宋体" w:hAnsi="宋体"/>
          <w:color w:val="000000"/>
          <w:szCs w:val="21"/>
          <w:highlight w:val="none"/>
        </w:rPr>
        <w:t>，资金已到位。招标人为</w:t>
      </w:r>
      <w:r>
        <w:rPr>
          <w:rFonts w:hint="eastAsia" w:ascii="宋体" w:hAnsi="宋体"/>
          <w:color w:val="000000"/>
          <w:szCs w:val="21"/>
          <w:highlight w:val="none"/>
          <w:lang w:eastAsia="zh-CN"/>
        </w:rPr>
        <w:t>平顶山湛源城市建设发展有限公司</w:t>
      </w:r>
      <w:r>
        <w:rPr>
          <w:rFonts w:hint="eastAsia" w:ascii="宋体" w:hAnsi="宋体"/>
          <w:color w:val="000000"/>
          <w:szCs w:val="21"/>
          <w:highlight w:val="none"/>
        </w:rPr>
        <w:t>，平顶山市湛河区住房和城乡建设局招标代理机构为</w:t>
      </w:r>
      <w:r>
        <w:rPr>
          <w:rFonts w:hint="eastAsia" w:ascii="宋体" w:hAnsi="宋体"/>
          <w:color w:val="000000"/>
          <w:szCs w:val="21"/>
          <w:highlight w:val="none"/>
          <w:lang w:eastAsia="zh-CN"/>
        </w:rPr>
        <w:t>河南正兴工程管理有限公司</w:t>
      </w:r>
      <w:r>
        <w:rPr>
          <w:rFonts w:hint="eastAsia" w:ascii="宋体" w:hAnsi="宋体"/>
          <w:color w:val="000000"/>
          <w:szCs w:val="21"/>
          <w:highlight w:val="none"/>
        </w:rPr>
        <w:t>。项目已具备招标条件，现对本项目进行公开招标，现欢迎符合条件的投标人参加投标。</w:t>
      </w:r>
    </w:p>
    <w:p w14:paraId="102552B0">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二、项目概况与招标范围</w:t>
      </w:r>
      <w:r>
        <w:rPr>
          <w:rFonts w:ascii="宋体" w:hAnsi="宋体"/>
          <w:b/>
          <w:color w:val="000000"/>
          <w:szCs w:val="21"/>
          <w:highlight w:val="none"/>
        </w:rPr>
        <w:t xml:space="preserve">       </w:t>
      </w:r>
    </w:p>
    <w:p w14:paraId="5215122B">
      <w:pPr>
        <w:spacing w:line="360" w:lineRule="auto"/>
        <w:ind w:firstLine="420" w:firstLineChars="200"/>
        <w:rPr>
          <w:rFonts w:hint="eastAsia" w:ascii="宋体" w:hAnsi="宋体" w:eastAsia="宋体"/>
          <w:color w:val="000000"/>
          <w:szCs w:val="21"/>
          <w:highlight w:val="none"/>
          <w:lang w:eastAsia="zh-CN"/>
        </w:rPr>
      </w:pPr>
      <w:r>
        <w:rPr>
          <w:rFonts w:ascii="宋体" w:hAnsi="宋体"/>
          <w:color w:val="000000"/>
          <w:szCs w:val="21"/>
          <w:highlight w:val="none"/>
        </w:rPr>
        <w:t>1</w:t>
      </w:r>
      <w:r>
        <w:rPr>
          <w:rFonts w:hint="eastAsia" w:ascii="宋体" w:hAnsi="宋体"/>
          <w:color w:val="000000"/>
          <w:szCs w:val="21"/>
          <w:highlight w:val="none"/>
        </w:rPr>
        <w:t>、项目概况：平顶山市湛河区南环路街道办事处消防队家属院马庄街道办事处马办家属院、北渡街道办事处市一中家属院、荆山街道办事处市农科院家属院等7个老旧小区</w:t>
      </w:r>
      <w:r>
        <w:rPr>
          <w:rFonts w:hint="eastAsia" w:ascii="宋体" w:hAnsi="宋体"/>
          <w:color w:val="000000"/>
          <w:szCs w:val="21"/>
          <w:highlight w:val="none"/>
          <w:lang w:eastAsia="zh-CN"/>
        </w:rPr>
        <w:t>；</w:t>
      </w:r>
    </w:p>
    <w:p w14:paraId="7626D1A6">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以上区域的内容包含屋面隔热板、支墩及防水层拆除；新做屋面防水及保护层；楼梯间内墙及天棚涂料、抹灰层铲除及新做；楼梯间照明改造，外墙改造等内容</w:t>
      </w:r>
      <w:r>
        <w:rPr>
          <w:rFonts w:hint="eastAsia" w:ascii="宋体" w:hAnsi="宋体"/>
          <w:color w:val="000000"/>
          <w:szCs w:val="21"/>
          <w:highlight w:val="none"/>
        </w:rPr>
        <w:t>。</w:t>
      </w:r>
    </w:p>
    <w:p w14:paraId="59A6CC8E">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2、项目名称：</w:t>
      </w:r>
      <w:r>
        <w:rPr>
          <w:rFonts w:hint="eastAsia" w:ascii="宋体" w:hAnsi="宋体"/>
          <w:color w:val="000000"/>
          <w:szCs w:val="21"/>
          <w:highlight w:val="none"/>
          <w:lang w:eastAsia="zh-CN"/>
        </w:rPr>
        <w:t>平顶山市湛河区南环路街道办事处消防队家属院、马庄街道办事处马办家属院、北渡街道办事处市一中家属院、荆山街道办事处市农科院家属院等7个老旧小区主体改造项目</w:t>
      </w:r>
    </w:p>
    <w:p w14:paraId="2C40F3DD">
      <w:pPr>
        <w:spacing w:line="360" w:lineRule="auto"/>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rPr>
        <w:t>3、招标编号：</w:t>
      </w:r>
      <w:r>
        <w:rPr>
          <w:rFonts w:hint="eastAsia" w:ascii="宋体" w:hAnsi="宋体"/>
          <w:color w:val="000000"/>
          <w:szCs w:val="21"/>
          <w:highlight w:val="none"/>
          <w:lang w:eastAsia="zh-CN"/>
        </w:rPr>
        <w:t>HNZX-PDS-2024-17</w:t>
      </w:r>
    </w:p>
    <w:p w14:paraId="15DDFC7B">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4、预算金额：4086865.27元</w:t>
      </w:r>
    </w:p>
    <w:p w14:paraId="4DC5FD67">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lang w:eastAsia="zh-CN"/>
        </w:rPr>
        <w:t>、资金来源：</w:t>
      </w:r>
      <w:r>
        <w:rPr>
          <w:rFonts w:hint="eastAsia" w:ascii="宋体" w:hAnsi="宋体" w:eastAsia="宋体" w:cs="Times New Roman"/>
          <w:color w:val="000000"/>
          <w:szCs w:val="21"/>
          <w:highlight w:val="none"/>
          <w:lang w:val="en-US" w:eastAsia="zh-CN"/>
        </w:rPr>
        <w:t>上级资金及区财政资金解决</w:t>
      </w:r>
      <w:r>
        <w:rPr>
          <w:rFonts w:hint="eastAsia" w:ascii="宋体" w:hAnsi="宋体" w:eastAsia="宋体" w:cs="Times New Roman"/>
          <w:color w:val="000000"/>
          <w:szCs w:val="21"/>
          <w:highlight w:val="none"/>
          <w:lang w:eastAsia="zh-CN"/>
        </w:rPr>
        <w:t>，已落实。</w:t>
      </w:r>
    </w:p>
    <w:p w14:paraId="03FFD046">
      <w:pPr>
        <w:spacing w:line="360" w:lineRule="auto"/>
        <w:ind w:firstLine="420" w:firstLineChars="200"/>
        <w:rPr>
          <w:rFonts w:hint="default" w:ascii="宋体" w:hAnsi="宋体"/>
          <w:color w:val="000000"/>
          <w:szCs w:val="21"/>
          <w:highlight w:val="none"/>
          <w:lang w:val="en-US"/>
        </w:rPr>
      </w:pPr>
      <w:r>
        <w:rPr>
          <w:rFonts w:hint="eastAsia" w:ascii="宋体" w:hAnsi="宋体"/>
          <w:color w:val="000000"/>
          <w:szCs w:val="21"/>
          <w:highlight w:val="none"/>
          <w:lang w:val="en-US" w:eastAsia="zh-CN"/>
        </w:rPr>
        <w:t>6</w:t>
      </w:r>
      <w:r>
        <w:rPr>
          <w:rFonts w:hint="eastAsia" w:ascii="宋体" w:hAnsi="宋体"/>
          <w:color w:val="000000"/>
          <w:szCs w:val="21"/>
          <w:highlight w:val="none"/>
        </w:rPr>
        <w:t>、标段划分：</w:t>
      </w:r>
      <w:r>
        <w:rPr>
          <w:rFonts w:hint="eastAsia" w:ascii="宋体" w:hAnsi="宋体"/>
          <w:color w:val="000000"/>
          <w:szCs w:val="21"/>
          <w:highlight w:val="none"/>
          <w:lang w:val="en-US" w:eastAsia="zh-CN"/>
        </w:rPr>
        <w:t>一个标段；</w:t>
      </w:r>
    </w:p>
    <w:p w14:paraId="6AFF5EAF">
      <w:pPr>
        <w:spacing w:line="360" w:lineRule="auto"/>
        <w:ind w:left="1890" w:leftChars="200" w:hanging="1470" w:hangingChars="700"/>
        <w:jc w:val="left"/>
        <w:rPr>
          <w:rFonts w:hint="eastAsia" w:ascii="宋体" w:hAnsi="宋体"/>
          <w:color w:val="000000"/>
          <w:szCs w:val="21"/>
          <w:highlight w:val="none"/>
          <w:lang w:eastAsia="zh-CN"/>
        </w:rPr>
      </w:pPr>
      <w:r>
        <w:rPr>
          <w:rFonts w:hint="eastAsia" w:ascii="宋体" w:hAnsi="宋体"/>
          <w:color w:val="000000"/>
          <w:szCs w:val="21"/>
          <w:highlight w:val="none"/>
          <w:lang w:val="en-US" w:eastAsia="zh-CN"/>
        </w:rPr>
        <w:t>7</w:t>
      </w:r>
      <w:r>
        <w:rPr>
          <w:rFonts w:hint="eastAsia" w:ascii="宋体" w:hAnsi="宋体"/>
          <w:color w:val="000000"/>
          <w:szCs w:val="21"/>
          <w:highlight w:val="none"/>
        </w:rPr>
        <w:t>、招标范围：工程量清单及图纸中的所有内容（包括项目概况所有内容</w:t>
      </w:r>
      <w:r>
        <w:rPr>
          <w:rFonts w:hint="eastAsia" w:ascii="宋体" w:hAnsi="宋体"/>
          <w:color w:val="000000"/>
          <w:szCs w:val="21"/>
          <w:highlight w:val="none"/>
          <w:lang w:eastAsia="zh-CN"/>
        </w:rPr>
        <w:t>）；</w:t>
      </w:r>
    </w:p>
    <w:p w14:paraId="01B51C13">
      <w:pPr>
        <w:spacing w:line="360" w:lineRule="auto"/>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8</w:t>
      </w:r>
      <w:r>
        <w:rPr>
          <w:rFonts w:hint="eastAsia" w:ascii="宋体" w:hAnsi="宋体"/>
          <w:color w:val="000000"/>
          <w:szCs w:val="21"/>
          <w:highlight w:val="none"/>
        </w:rPr>
        <w:t>、计划工期</w:t>
      </w:r>
      <w:r>
        <w:rPr>
          <w:rFonts w:hint="eastAsia" w:ascii="宋体" w:hAnsi="宋体"/>
          <w:color w:val="000000"/>
          <w:szCs w:val="21"/>
          <w:highlight w:val="none"/>
          <w:lang w:val="en-US" w:eastAsia="zh-CN"/>
        </w:rPr>
        <w:t>：12个月；</w:t>
      </w:r>
    </w:p>
    <w:p w14:paraId="3F3D52C3">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val="en-US" w:eastAsia="zh-CN"/>
        </w:rPr>
        <w:t>9</w:t>
      </w:r>
      <w:r>
        <w:rPr>
          <w:rFonts w:hint="eastAsia" w:ascii="宋体" w:hAnsi="宋体"/>
          <w:color w:val="000000"/>
          <w:szCs w:val="21"/>
          <w:highlight w:val="none"/>
        </w:rPr>
        <w:t>、质量标准：合格</w:t>
      </w:r>
      <w:r>
        <w:rPr>
          <w:rFonts w:hint="eastAsia" w:ascii="宋体" w:hAnsi="宋体"/>
          <w:color w:val="000000"/>
          <w:szCs w:val="21"/>
          <w:highlight w:val="none"/>
          <w:lang w:eastAsia="zh-CN"/>
        </w:rPr>
        <w:t>；</w:t>
      </w:r>
    </w:p>
    <w:p w14:paraId="185C6247">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三、投标人资格要求</w:t>
      </w:r>
    </w:p>
    <w:p w14:paraId="7D1444B9">
      <w:pPr>
        <w:spacing w:line="360" w:lineRule="auto"/>
        <w:ind w:firstLine="420" w:firstLineChars="200"/>
        <w:rPr>
          <w:rFonts w:hint="eastAsia"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lang w:val="en-US" w:eastAsia="zh-CN"/>
        </w:rPr>
        <w:t>第一标段（施工）</w:t>
      </w:r>
    </w:p>
    <w:p w14:paraId="74FBBB13">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1.投标人须具有独立的法人资格，持有有效的统一社会信用代码营业执照（提供有效的营业执照扫描件或复印件，也可提供电子营业执照截图）；</w:t>
      </w:r>
    </w:p>
    <w:p w14:paraId="7AC5CD40">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2.投标人具有建设行政主管部门核发的建筑工程施工总承包（叁级）及以上资质，具有有效的安全生产许可证</w:t>
      </w:r>
      <w:r>
        <w:rPr>
          <w:rFonts w:hint="eastAsia" w:ascii="宋体" w:hAnsi="宋体"/>
          <w:color w:val="000000"/>
          <w:szCs w:val="21"/>
          <w:highlight w:val="none"/>
          <w:lang w:eastAsia="zh-CN"/>
        </w:rPr>
        <w:t>；</w:t>
      </w:r>
    </w:p>
    <w:p w14:paraId="20AE58A3">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3.</w:t>
      </w:r>
      <w:r>
        <w:rPr>
          <w:rFonts w:hint="eastAsia" w:ascii="宋体" w:hAnsi="宋体" w:eastAsia="宋体" w:cs="宋体"/>
          <w:color w:val="000000"/>
          <w:sz w:val="21"/>
          <w:szCs w:val="21"/>
          <w:highlight w:val="none"/>
        </w:rPr>
        <w:t>投标人拟派项目经理须具有建筑工程专业</w:t>
      </w:r>
      <w:r>
        <w:rPr>
          <w:rFonts w:hint="eastAsia" w:ascii="宋体" w:hAnsi="宋体" w:eastAsia="宋体" w:cs="宋体"/>
          <w:color w:val="000000"/>
          <w:sz w:val="21"/>
          <w:szCs w:val="21"/>
          <w:highlight w:val="none"/>
          <w:lang w:val="en-US" w:eastAsia="zh-CN"/>
        </w:rPr>
        <w:t>贰</w:t>
      </w:r>
      <w:r>
        <w:rPr>
          <w:rFonts w:hint="eastAsia" w:ascii="宋体" w:hAnsi="宋体" w:eastAsia="宋体" w:cs="宋体"/>
          <w:color w:val="000000"/>
          <w:sz w:val="21"/>
          <w:szCs w:val="21"/>
          <w:highlight w:val="none"/>
        </w:rPr>
        <w:t>级</w:t>
      </w:r>
      <w:r>
        <w:rPr>
          <w:rFonts w:hint="eastAsia" w:ascii="宋体" w:hAnsi="宋体" w:eastAsia="宋体" w:cs="宋体"/>
          <w:color w:val="000000"/>
          <w:sz w:val="21"/>
          <w:szCs w:val="21"/>
          <w:highlight w:val="none"/>
          <w:lang w:val="en-US" w:eastAsia="zh-CN"/>
        </w:rPr>
        <w:t>及以上</w:t>
      </w:r>
      <w:r>
        <w:rPr>
          <w:rFonts w:hint="eastAsia" w:ascii="宋体" w:hAnsi="宋体" w:eastAsia="宋体" w:cs="宋体"/>
          <w:color w:val="000000"/>
          <w:sz w:val="21"/>
          <w:szCs w:val="21"/>
          <w:highlight w:val="none"/>
        </w:rPr>
        <w:t>注册建造师证书，并具备有效的安全生产考核合格证书，没有正在施工和正在承接的工程项目，拟派项目经理在投标过程中、施工过程中不更换（提供项目经理无在建工程承诺书及不更换承诺书）</w:t>
      </w:r>
      <w:r>
        <w:rPr>
          <w:rFonts w:hint="eastAsia" w:ascii="宋体" w:hAnsi="宋体" w:eastAsia="宋体"/>
          <w:color w:val="000000"/>
          <w:szCs w:val="21"/>
          <w:highlight w:val="none"/>
          <w:lang w:eastAsia="zh-CN"/>
        </w:rPr>
        <w:t>；</w:t>
      </w:r>
    </w:p>
    <w:p w14:paraId="40B387E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w:t>
      </w:r>
      <w:r>
        <w:rPr>
          <w:rFonts w:hint="default" w:ascii="宋体" w:hAnsi="宋体" w:eastAsia="宋体" w:cs="宋体"/>
          <w:i w:val="0"/>
          <w:iCs w:val="0"/>
          <w:caps w:val="0"/>
          <w:color w:val="000000"/>
          <w:spacing w:val="0"/>
          <w:sz w:val="21"/>
          <w:szCs w:val="21"/>
          <w:shd w:val="clear" w:color="auto" w:fill="FFFFFF"/>
          <w:lang w:val="en-US" w:eastAsia="zh-CN"/>
        </w:rPr>
        <w:t>投标人拟派技术负责人应具有大专及以上学历和与工程项目相适应专业的中级</w:t>
      </w:r>
      <w:r>
        <w:rPr>
          <w:rFonts w:hint="eastAsia" w:ascii="宋体" w:hAnsi="宋体" w:cs="宋体"/>
          <w:i w:val="0"/>
          <w:iCs w:val="0"/>
          <w:caps w:val="0"/>
          <w:color w:val="000000"/>
          <w:spacing w:val="0"/>
          <w:sz w:val="21"/>
          <w:szCs w:val="21"/>
          <w:shd w:val="clear" w:color="auto" w:fill="FFFFFF"/>
          <w:lang w:val="en-US" w:eastAsia="zh-CN"/>
        </w:rPr>
        <w:t>及以上</w:t>
      </w:r>
      <w:r>
        <w:rPr>
          <w:rFonts w:hint="default" w:ascii="宋体" w:hAnsi="宋体" w:eastAsia="宋体" w:cs="宋体"/>
          <w:i w:val="0"/>
          <w:iCs w:val="0"/>
          <w:caps w:val="0"/>
          <w:color w:val="000000"/>
          <w:spacing w:val="0"/>
          <w:sz w:val="21"/>
          <w:szCs w:val="21"/>
          <w:shd w:val="clear" w:color="auto" w:fill="FFFFFF"/>
          <w:lang w:val="en-US" w:eastAsia="zh-CN"/>
        </w:rPr>
        <w:t>职称。从事相关技术管理工作5年以上（工作经验需提供相关证明或承诺）</w:t>
      </w:r>
      <w:r>
        <w:rPr>
          <w:rFonts w:hint="eastAsia" w:ascii="宋体" w:hAnsi="宋体"/>
          <w:color w:val="000000"/>
          <w:szCs w:val="21"/>
          <w:highlight w:val="none"/>
        </w:rPr>
        <w:t>。</w:t>
      </w:r>
    </w:p>
    <w:p w14:paraId="0DE3BEF7">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5.具有良好的商业信誉和健全的财务会计制度（提供202</w:t>
      </w:r>
      <w:r>
        <w:rPr>
          <w:rFonts w:hint="eastAsia" w:ascii="宋体" w:hAnsi="宋体"/>
          <w:color w:val="000000"/>
          <w:szCs w:val="21"/>
          <w:highlight w:val="none"/>
          <w:lang w:val="en-US" w:eastAsia="zh-CN"/>
        </w:rPr>
        <w:t>3</w:t>
      </w:r>
      <w:r>
        <w:rPr>
          <w:rFonts w:hint="eastAsia" w:ascii="宋体" w:hAnsi="宋体"/>
          <w:color w:val="000000"/>
          <w:szCs w:val="21"/>
          <w:highlight w:val="none"/>
        </w:rPr>
        <w:t>年度经审计的财务报表，不足1年的，提供自注册年度以来的财务会计报表）；</w:t>
      </w:r>
    </w:p>
    <w:p w14:paraId="285B21FE">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6.具有履行合同所必需的设备和专业技术能力（提供承诺书）； </w:t>
      </w:r>
    </w:p>
    <w:p w14:paraId="607C95F9">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7.具有依法缴纳税收和社会保障资金的良好记录（提供承诺书）；</w:t>
      </w:r>
    </w:p>
    <w:p w14:paraId="30C17D9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8.参加招投标活动前三年内，在经营活动中没有重大违法记录（提供承诺书）；</w:t>
      </w:r>
    </w:p>
    <w:p w14:paraId="743CC98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9.投标人未列入“中国执行信息公开网”网站“失信被执行人”、“信用中国”网站“重大税收违法失信主体”以及“中国政府采购网”网站“政府采购严重违法失信行为名单”，对列入上述不良行为记录的投标人，拒绝其投标。查询截止时点为自招标公告发布之日起至投标截止时间止。</w:t>
      </w:r>
    </w:p>
    <w:p w14:paraId="119B75EF">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10.本次项目采用资格后审，不接受联合体投标</w:t>
      </w:r>
    </w:p>
    <w:p w14:paraId="16899AC0">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注：1.若参与本项目的投标单位为新成立企业，可提供注册后的相关证明材料。</w:t>
      </w:r>
    </w:p>
    <w:p w14:paraId="792D93AF">
      <w:pPr>
        <w:numPr>
          <w:ilvl w:val="0"/>
          <w:numId w:val="0"/>
        </w:numPr>
        <w:spacing w:line="360" w:lineRule="auto"/>
        <w:ind w:left="840" w:leftChars="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参与本项目的投标人只能针对一个标段进行投报。</w:t>
      </w:r>
    </w:p>
    <w:p w14:paraId="1B697CB3">
      <w:pPr>
        <w:numPr>
          <w:ilvl w:val="0"/>
          <w:numId w:val="0"/>
        </w:numPr>
        <w:spacing w:line="360" w:lineRule="auto"/>
        <w:ind w:left="840" w:leftChars="0"/>
        <w:rPr>
          <w:rFonts w:hint="default"/>
          <w:color w:val="000000"/>
          <w:highlight w:val="none"/>
          <w:lang w:val="en-US" w:eastAsia="zh-CN"/>
        </w:rPr>
      </w:pP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投标人须保证参加投标期间提供的所有资料真实有效，招标人有权在任何时间对其资料的真实性进行核实，投标人对招标人的核实须配合，一旦发现弄虚作假行为，将取消其投标或中标资格，并上报监督部门予以处罚（提供承诺书）</w:t>
      </w:r>
    </w:p>
    <w:p w14:paraId="50FF6397">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四、获取招标文件</w:t>
      </w:r>
      <w:r>
        <w:rPr>
          <w:rFonts w:ascii="宋体" w:hAnsi="宋体"/>
          <w:b/>
          <w:color w:val="000000"/>
          <w:szCs w:val="21"/>
          <w:highlight w:val="none"/>
        </w:rPr>
        <w:t xml:space="preserve"> </w:t>
      </w:r>
    </w:p>
    <w:p w14:paraId="2719DEA0">
      <w:pPr>
        <w:spacing w:line="360" w:lineRule="auto"/>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、时间：</w:t>
      </w:r>
      <w:r>
        <w:rPr>
          <w:rFonts w:ascii="宋体" w:hAnsi="宋体"/>
          <w:color w:val="000000"/>
          <w:szCs w:val="21"/>
          <w:highlight w:val="none"/>
        </w:rPr>
        <w:t>202</w:t>
      </w:r>
      <w:r>
        <w:rPr>
          <w:rFonts w:hint="eastAsia" w:ascii="宋体" w:hAnsi="宋体"/>
          <w:color w:val="000000"/>
          <w:szCs w:val="21"/>
          <w:highlight w:val="none"/>
        </w:rPr>
        <w:t>4年</w:t>
      </w:r>
      <w:r>
        <w:rPr>
          <w:rFonts w:hint="eastAsia" w:ascii="宋体" w:hAnsi="宋体"/>
          <w:color w:val="000000"/>
          <w:szCs w:val="21"/>
          <w:highlight w:val="none"/>
          <w:lang w:val="en-US" w:eastAsia="zh-CN"/>
        </w:rPr>
        <w:t>11</w:t>
      </w:r>
      <w:r>
        <w:rPr>
          <w:rFonts w:hint="eastAsia" w:ascii="宋体" w:hAnsi="宋体"/>
          <w:color w:val="000000"/>
          <w:szCs w:val="21"/>
          <w:highlight w:val="none"/>
        </w:rPr>
        <w:t>月</w:t>
      </w:r>
      <w:r>
        <w:rPr>
          <w:rFonts w:hint="eastAsia" w:ascii="宋体" w:hAnsi="宋体"/>
          <w:color w:val="000000"/>
          <w:szCs w:val="21"/>
          <w:highlight w:val="none"/>
          <w:lang w:val="en-US" w:eastAsia="zh-CN"/>
        </w:rPr>
        <w:t>07</w:t>
      </w:r>
      <w:r>
        <w:rPr>
          <w:rFonts w:hint="eastAsia" w:ascii="宋体" w:hAnsi="宋体"/>
          <w:color w:val="000000"/>
          <w:szCs w:val="21"/>
          <w:highlight w:val="none"/>
        </w:rPr>
        <w:t>日至</w:t>
      </w:r>
      <w:r>
        <w:rPr>
          <w:rFonts w:ascii="宋体" w:hAnsi="宋体"/>
          <w:color w:val="000000"/>
          <w:szCs w:val="21"/>
          <w:highlight w:val="none"/>
        </w:rPr>
        <w:t>2024</w:t>
      </w:r>
      <w:r>
        <w:rPr>
          <w:rFonts w:hint="eastAsia" w:ascii="宋体" w:hAnsi="宋体"/>
          <w:color w:val="000000"/>
          <w:szCs w:val="21"/>
          <w:highlight w:val="none"/>
        </w:rPr>
        <w:t>年</w:t>
      </w:r>
      <w:r>
        <w:rPr>
          <w:rFonts w:hint="eastAsia" w:ascii="宋体" w:hAnsi="宋体"/>
          <w:color w:val="000000"/>
          <w:szCs w:val="21"/>
          <w:highlight w:val="none"/>
          <w:lang w:val="en-US" w:eastAsia="zh-CN"/>
        </w:rPr>
        <w:t>11</w:t>
      </w:r>
      <w:r>
        <w:rPr>
          <w:rFonts w:hint="eastAsia" w:ascii="宋体" w:hAnsi="宋体"/>
          <w:color w:val="000000"/>
          <w:szCs w:val="21"/>
          <w:highlight w:val="none"/>
        </w:rPr>
        <w:t>月</w:t>
      </w:r>
      <w:r>
        <w:rPr>
          <w:rFonts w:hint="eastAsia" w:ascii="宋体" w:hAnsi="宋体"/>
          <w:color w:val="000000"/>
          <w:szCs w:val="21"/>
          <w:highlight w:val="none"/>
          <w:lang w:val="en-US" w:eastAsia="zh-CN"/>
        </w:rPr>
        <w:t>26</w:t>
      </w:r>
      <w:r>
        <w:rPr>
          <w:rFonts w:hint="eastAsia" w:ascii="宋体" w:hAnsi="宋体"/>
          <w:color w:val="000000"/>
          <w:szCs w:val="21"/>
          <w:highlight w:val="none"/>
        </w:rPr>
        <w:t>日，每天上午</w:t>
      </w:r>
      <w:r>
        <w:rPr>
          <w:rFonts w:ascii="宋体" w:hAnsi="宋体"/>
          <w:color w:val="000000"/>
          <w:szCs w:val="21"/>
          <w:highlight w:val="none"/>
        </w:rPr>
        <w:t>00</w:t>
      </w:r>
      <w:r>
        <w:rPr>
          <w:rFonts w:hint="eastAsia" w:ascii="宋体" w:hAnsi="宋体"/>
          <w:color w:val="000000"/>
          <w:szCs w:val="21"/>
          <w:highlight w:val="none"/>
        </w:rPr>
        <w:t>时</w:t>
      </w:r>
      <w:r>
        <w:rPr>
          <w:rFonts w:ascii="宋体" w:hAnsi="宋体"/>
          <w:color w:val="000000"/>
          <w:szCs w:val="21"/>
          <w:highlight w:val="none"/>
        </w:rPr>
        <w:t>00</w:t>
      </w:r>
      <w:r>
        <w:rPr>
          <w:rFonts w:hint="eastAsia" w:ascii="宋体" w:hAnsi="宋体"/>
          <w:color w:val="000000"/>
          <w:szCs w:val="21"/>
          <w:highlight w:val="none"/>
        </w:rPr>
        <w:t>分至</w:t>
      </w:r>
      <w:r>
        <w:rPr>
          <w:rFonts w:ascii="宋体" w:hAnsi="宋体"/>
          <w:color w:val="000000"/>
          <w:szCs w:val="21"/>
          <w:highlight w:val="none"/>
        </w:rPr>
        <w:t>12</w:t>
      </w:r>
      <w:r>
        <w:rPr>
          <w:rFonts w:hint="eastAsia" w:ascii="宋体" w:hAnsi="宋体"/>
          <w:color w:val="000000"/>
          <w:szCs w:val="21"/>
          <w:highlight w:val="none"/>
        </w:rPr>
        <w:t>时</w:t>
      </w:r>
      <w:r>
        <w:rPr>
          <w:rFonts w:ascii="宋体" w:hAnsi="宋体"/>
          <w:color w:val="000000"/>
          <w:szCs w:val="21"/>
          <w:highlight w:val="none"/>
        </w:rPr>
        <w:t>00</w:t>
      </w:r>
      <w:r>
        <w:rPr>
          <w:rFonts w:hint="eastAsia" w:ascii="宋体" w:hAnsi="宋体"/>
          <w:color w:val="000000"/>
          <w:szCs w:val="21"/>
          <w:highlight w:val="none"/>
        </w:rPr>
        <w:t>分，下午</w:t>
      </w:r>
      <w:r>
        <w:rPr>
          <w:rFonts w:ascii="宋体" w:hAnsi="宋体"/>
          <w:color w:val="000000"/>
          <w:szCs w:val="21"/>
          <w:highlight w:val="none"/>
        </w:rPr>
        <w:t>12</w:t>
      </w:r>
      <w:r>
        <w:rPr>
          <w:rFonts w:hint="eastAsia" w:ascii="宋体" w:hAnsi="宋体"/>
          <w:color w:val="000000"/>
          <w:szCs w:val="21"/>
          <w:highlight w:val="none"/>
        </w:rPr>
        <w:t>时</w:t>
      </w:r>
      <w:r>
        <w:rPr>
          <w:rFonts w:ascii="宋体" w:hAnsi="宋体"/>
          <w:color w:val="000000"/>
          <w:szCs w:val="21"/>
          <w:highlight w:val="none"/>
        </w:rPr>
        <w:t>00</w:t>
      </w:r>
      <w:r>
        <w:rPr>
          <w:rFonts w:hint="eastAsia" w:ascii="宋体" w:hAnsi="宋体"/>
          <w:color w:val="000000"/>
          <w:szCs w:val="21"/>
          <w:highlight w:val="none"/>
        </w:rPr>
        <w:t>分至</w:t>
      </w:r>
      <w:r>
        <w:rPr>
          <w:rFonts w:ascii="宋体" w:hAnsi="宋体"/>
          <w:color w:val="000000"/>
          <w:szCs w:val="21"/>
          <w:highlight w:val="none"/>
        </w:rPr>
        <w:t>23</w:t>
      </w:r>
      <w:r>
        <w:rPr>
          <w:rFonts w:hint="eastAsia" w:ascii="宋体" w:hAnsi="宋体"/>
          <w:color w:val="000000"/>
          <w:szCs w:val="21"/>
          <w:highlight w:val="none"/>
        </w:rPr>
        <w:t>时</w:t>
      </w:r>
      <w:r>
        <w:rPr>
          <w:rFonts w:ascii="宋体" w:hAnsi="宋体"/>
          <w:color w:val="000000"/>
          <w:szCs w:val="21"/>
          <w:highlight w:val="none"/>
        </w:rPr>
        <w:t>59</w:t>
      </w:r>
      <w:r>
        <w:rPr>
          <w:rFonts w:hint="eastAsia" w:ascii="宋体" w:hAnsi="宋体"/>
          <w:color w:val="000000"/>
          <w:szCs w:val="21"/>
          <w:highlight w:val="none"/>
        </w:rPr>
        <w:t>分（北京时间）。</w:t>
      </w:r>
    </w:p>
    <w:p w14:paraId="3CE468B8">
      <w:pPr>
        <w:spacing w:line="360" w:lineRule="auto"/>
        <w:ind w:firstLine="420" w:firstLineChars="200"/>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、地点：全国公共资源交易平台（河南省•平顶山市）电子交易系统</w:t>
      </w:r>
    </w:p>
    <w:p w14:paraId="6D874447">
      <w:pPr>
        <w:spacing w:line="360" w:lineRule="auto"/>
        <w:ind w:firstLine="420" w:firstLineChars="200"/>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、方式：潜在投标人报名需凭CA数字证书通过平顶山市公共资源交易中心网（网址：http://ggzy.pds.gov.cn）“交易主体登录”入口进入交易系统进行下载。具体操作请查看以下链接：</w:t>
      </w:r>
    </w:p>
    <w:p w14:paraId="4B271B3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链接地址：http://ggzy.pds.gov.cn/fwzn/11020.jhtml；</w:t>
      </w:r>
    </w:p>
    <w:p w14:paraId="5E4551A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办理CA证书：http://ggzy.pds.gov.cn/tzgg/10814.jhtml。</w:t>
      </w:r>
    </w:p>
    <w:p w14:paraId="327ECDF5">
      <w:pPr>
        <w:spacing w:line="360" w:lineRule="auto"/>
        <w:ind w:firstLine="420" w:firstLineChars="200"/>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、售价：</w:t>
      </w:r>
      <w:r>
        <w:rPr>
          <w:rFonts w:ascii="宋体" w:hAnsi="宋体"/>
          <w:color w:val="000000"/>
          <w:szCs w:val="21"/>
          <w:highlight w:val="none"/>
        </w:rPr>
        <w:t>0</w:t>
      </w:r>
      <w:r>
        <w:rPr>
          <w:rFonts w:hint="eastAsia" w:ascii="宋体" w:hAnsi="宋体"/>
          <w:color w:val="000000"/>
          <w:szCs w:val="21"/>
          <w:highlight w:val="none"/>
        </w:rPr>
        <w:t>元。</w:t>
      </w:r>
    </w:p>
    <w:p w14:paraId="48DB3181">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五、投标文件的递交</w:t>
      </w:r>
      <w:r>
        <w:rPr>
          <w:rFonts w:ascii="宋体" w:hAnsi="宋体"/>
          <w:b/>
          <w:color w:val="000000"/>
          <w:szCs w:val="21"/>
          <w:highlight w:val="none"/>
        </w:rPr>
        <w:t xml:space="preserve"> </w:t>
      </w:r>
    </w:p>
    <w:p w14:paraId="011C974C">
      <w:pPr>
        <w:spacing w:line="360" w:lineRule="auto"/>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时间：</w:t>
      </w:r>
      <w:r>
        <w:rPr>
          <w:rFonts w:ascii="宋体" w:hAnsi="宋体"/>
          <w:color w:val="000000"/>
          <w:szCs w:val="21"/>
          <w:highlight w:val="none"/>
        </w:rPr>
        <w:t>2024</w:t>
      </w:r>
      <w:r>
        <w:rPr>
          <w:rFonts w:hint="eastAsia" w:ascii="宋体" w:hAnsi="宋体"/>
          <w:color w:val="000000"/>
          <w:szCs w:val="21"/>
          <w:highlight w:val="none"/>
        </w:rPr>
        <w:t>年</w:t>
      </w:r>
      <w:r>
        <w:rPr>
          <w:rFonts w:hint="eastAsia" w:ascii="宋体" w:hAnsi="宋体"/>
          <w:color w:val="000000"/>
          <w:szCs w:val="21"/>
          <w:highlight w:val="none"/>
          <w:lang w:val="en-US" w:eastAsia="zh-CN"/>
        </w:rPr>
        <w:t>11</w:t>
      </w:r>
      <w:r>
        <w:rPr>
          <w:rFonts w:hint="eastAsia" w:ascii="宋体" w:hAnsi="宋体"/>
          <w:color w:val="000000"/>
          <w:szCs w:val="21"/>
          <w:highlight w:val="none"/>
        </w:rPr>
        <w:t>月</w:t>
      </w:r>
      <w:r>
        <w:rPr>
          <w:rFonts w:hint="eastAsia" w:ascii="宋体" w:hAnsi="宋体"/>
          <w:color w:val="000000"/>
          <w:szCs w:val="21"/>
          <w:highlight w:val="none"/>
          <w:lang w:val="en-US" w:eastAsia="zh-CN"/>
        </w:rPr>
        <w:t>27</w:t>
      </w:r>
      <w:r>
        <w:rPr>
          <w:rFonts w:hint="eastAsia" w:ascii="宋体" w:hAnsi="宋体"/>
          <w:color w:val="000000"/>
          <w:szCs w:val="21"/>
          <w:highlight w:val="none"/>
        </w:rPr>
        <w:t>日</w:t>
      </w:r>
      <w:r>
        <w:rPr>
          <w:rFonts w:hint="eastAsia" w:ascii="宋体" w:hAnsi="宋体"/>
          <w:color w:val="000000"/>
          <w:szCs w:val="21"/>
          <w:highlight w:val="none"/>
          <w:lang w:val="en-US" w:eastAsia="zh-CN"/>
        </w:rPr>
        <w:t>08</w:t>
      </w:r>
      <w:r>
        <w:rPr>
          <w:rFonts w:hint="eastAsia" w:ascii="宋体" w:hAnsi="宋体"/>
          <w:color w:val="000000"/>
          <w:szCs w:val="21"/>
          <w:highlight w:val="none"/>
        </w:rPr>
        <w:t>时</w:t>
      </w:r>
      <w:r>
        <w:rPr>
          <w:rFonts w:hint="eastAsia" w:ascii="宋体" w:hAnsi="宋体"/>
          <w:color w:val="000000"/>
          <w:szCs w:val="21"/>
          <w:highlight w:val="none"/>
          <w:lang w:val="en-US" w:eastAsia="zh-CN"/>
        </w:rPr>
        <w:t>40</w:t>
      </w:r>
      <w:r>
        <w:rPr>
          <w:rFonts w:hint="eastAsia" w:ascii="宋体" w:hAnsi="宋体"/>
          <w:color w:val="000000"/>
          <w:szCs w:val="21"/>
          <w:highlight w:val="none"/>
        </w:rPr>
        <w:t>分（北京时间）</w:t>
      </w:r>
    </w:p>
    <w:p w14:paraId="3803A5C4">
      <w:pPr>
        <w:spacing w:line="360" w:lineRule="auto"/>
        <w:ind w:firstLine="420" w:firstLineChars="200"/>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地点：全国公共资源交易平台（河南省•平顶山市）电子交易系统</w:t>
      </w:r>
    </w:p>
    <w:p w14:paraId="43ADB315">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六、开标时间及地点</w:t>
      </w:r>
      <w:r>
        <w:rPr>
          <w:rFonts w:ascii="宋体" w:hAnsi="宋体"/>
          <w:b/>
          <w:color w:val="000000"/>
          <w:szCs w:val="21"/>
          <w:highlight w:val="none"/>
        </w:rPr>
        <w:t xml:space="preserve"> </w:t>
      </w:r>
    </w:p>
    <w:p w14:paraId="4F416607">
      <w:pPr>
        <w:spacing w:line="360" w:lineRule="auto"/>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时间：</w:t>
      </w:r>
      <w:r>
        <w:rPr>
          <w:rFonts w:ascii="宋体" w:hAnsi="宋体"/>
          <w:color w:val="000000"/>
          <w:szCs w:val="21"/>
          <w:highlight w:val="none"/>
        </w:rPr>
        <w:t>2024</w:t>
      </w:r>
      <w:r>
        <w:rPr>
          <w:rFonts w:hint="eastAsia" w:ascii="宋体" w:hAnsi="宋体"/>
          <w:color w:val="000000"/>
          <w:szCs w:val="21"/>
          <w:highlight w:val="none"/>
        </w:rPr>
        <w:t>年</w:t>
      </w:r>
      <w:r>
        <w:rPr>
          <w:rFonts w:hint="eastAsia" w:ascii="宋体" w:hAnsi="宋体"/>
          <w:color w:val="000000"/>
          <w:szCs w:val="21"/>
          <w:highlight w:val="none"/>
          <w:lang w:val="en-US" w:eastAsia="zh-CN"/>
        </w:rPr>
        <w:t>11</w:t>
      </w:r>
      <w:r>
        <w:rPr>
          <w:rFonts w:hint="eastAsia" w:ascii="宋体" w:hAnsi="宋体"/>
          <w:color w:val="000000"/>
          <w:szCs w:val="21"/>
          <w:highlight w:val="none"/>
        </w:rPr>
        <w:t>月</w:t>
      </w:r>
      <w:r>
        <w:rPr>
          <w:rFonts w:hint="eastAsia" w:ascii="宋体" w:hAnsi="宋体"/>
          <w:color w:val="000000"/>
          <w:szCs w:val="21"/>
          <w:highlight w:val="none"/>
          <w:lang w:val="en-US" w:eastAsia="zh-CN"/>
        </w:rPr>
        <w:t>27</w:t>
      </w:r>
      <w:r>
        <w:rPr>
          <w:rFonts w:hint="eastAsia" w:ascii="宋体" w:hAnsi="宋体"/>
          <w:color w:val="000000"/>
          <w:szCs w:val="21"/>
          <w:highlight w:val="none"/>
        </w:rPr>
        <w:t>日</w:t>
      </w:r>
      <w:r>
        <w:rPr>
          <w:rFonts w:hint="eastAsia" w:ascii="宋体" w:hAnsi="宋体"/>
          <w:color w:val="000000"/>
          <w:szCs w:val="21"/>
          <w:highlight w:val="none"/>
          <w:lang w:val="en-US" w:eastAsia="zh-CN"/>
        </w:rPr>
        <w:t>08</w:t>
      </w:r>
      <w:r>
        <w:rPr>
          <w:rFonts w:hint="eastAsia" w:ascii="宋体" w:hAnsi="宋体"/>
          <w:color w:val="000000"/>
          <w:szCs w:val="21"/>
          <w:highlight w:val="none"/>
        </w:rPr>
        <w:t>时</w:t>
      </w:r>
      <w:r>
        <w:rPr>
          <w:rFonts w:hint="eastAsia" w:ascii="宋体" w:hAnsi="宋体"/>
          <w:color w:val="000000"/>
          <w:szCs w:val="21"/>
          <w:highlight w:val="none"/>
          <w:lang w:val="en-US" w:eastAsia="zh-CN"/>
        </w:rPr>
        <w:t>40</w:t>
      </w:r>
      <w:r>
        <w:rPr>
          <w:rFonts w:hint="eastAsia" w:ascii="宋体" w:hAnsi="宋体"/>
          <w:color w:val="000000"/>
          <w:szCs w:val="21"/>
          <w:highlight w:val="none"/>
        </w:rPr>
        <w:t>分（北京时间）</w:t>
      </w:r>
    </w:p>
    <w:p w14:paraId="5E90CFDB">
      <w:pPr>
        <w:spacing w:line="360" w:lineRule="auto"/>
        <w:ind w:firstLine="420" w:firstLineChars="200"/>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地点：全国公共资源交易平台（河南省•平顶山市）电子交易系统</w:t>
      </w:r>
    </w:p>
    <w:p w14:paraId="4FB7FCCA">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七、发布公告的媒介</w:t>
      </w:r>
      <w:r>
        <w:rPr>
          <w:rFonts w:ascii="宋体" w:hAnsi="宋体"/>
          <w:b/>
          <w:color w:val="000000"/>
          <w:szCs w:val="21"/>
          <w:highlight w:val="none"/>
        </w:rPr>
        <w:t xml:space="preserve"> </w:t>
      </w:r>
    </w:p>
    <w:p w14:paraId="3D2DBD7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本公告在《中国招标投标公共服务平台》、《河南省电子招标投标公共服务平台》、《全国公共资源交易平台（河南省•平顶山市）》网站上发布。</w:t>
      </w:r>
      <w:r>
        <w:rPr>
          <w:rFonts w:ascii="宋体" w:hAnsi="宋体"/>
          <w:color w:val="000000"/>
          <w:szCs w:val="21"/>
          <w:highlight w:val="none"/>
        </w:rPr>
        <w:t xml:space="preserve"> </w:t>
      </w:r>
    </w:p>
    <w:p w14:paraId="521A432A">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八、其他补充事宜</w:t>
      </w:r>
    </w:p>
    <w:p w14:paraId="32ABDC2B">
      <w:pPr>
        <w:spacing w:line="360" w:lineRule="auto"/>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平顶山市公共资源交易中心全面实行在线“不见面”开标，供应商远程在线解密响应文件，不再到开标现场，供应商开标前应仔细阅读《“不见面”开标注意事项及操作流程》，因各投标人未仔细阅读造成的损失，各投标人自行承担。</w:t>
      </w:r>
    </w:p>
    <w:p w14:paraId="01B1231F">
      <w:pPr>
        <w:spacing w:line="360" w:lineRule="auto"/>
        <w:ind w:firstLine="420" w:firstLineChars="200"/>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、通过平顶山市公共资源交易平台向采购人（代理机构）、行政监督部门提出在线质疑（异议）、投诉。</w:t>
      </w:r>
    </w:p>
    <w:p w14:paraId="76C5B0EF">
      <w:pPr>
        <w:spacing w:line="360" w:lineRule="auto"/>
        <w:ind w:firstLine="420" w:firstLineChars="200"/>
        <w:rPr>
          <w:rFonts w:hint="eastAsia" w:ascii="宋体" w:hAnsi="宋体" w:eastAsia="宋体"/>
          <w:color w:val="000000"/>
          <w:szCs w:val="21"/>
          <w:highlight w:val="none"/>
          <w:lang w:val="en-US" w:eastAsia="zh-CN"/>
        </w:rPr>
      </w:pPr>
      <w:r>
        <w:rPr>
          <w:rFonts w:ascii="宋体" w:hAnsi="宋体"/>
          <w:color w:val="000000"/>
          <w:szCs w:val="21"/>
          <w:highlight w:val="none"/>
        </w:rPr>
        <w:t>3</w:t>
      </w:r>
      <w:r>
        <w:rPr>
          <w:rFonts w:hint="eastAsia" w:ascii="宋体" w:hAnsi="宋体"/>
          <w:color w:val="000000"/>
          <w:szCs w:val="21"/>
          <w:highlight w:val="none"/>
        </w:rPr>
        <w:t>、该公告已同步至“平顶山市公共资源交易中心微信公众号</w:t>
      </w:r>
      <w:r>
        <w:rPr>
          <w:rFonts w:ascii="宋体" w:hAnsi="宋体"/>
          <w:color w:val="000000"/>
          <w:szCs w:val="21"/>
          <w:highlight w:val="none"/>
        </w:rPr>
        <w:t>,</w:t>
      </w:r>
      <w:r>
        <w:rPr>
          <w:rFonts w:hint="eastAsia" w:ascii="宋体" w:hAnsi="宋体"/>
          <w:color w:val="000000"/>
          <w:szCs w:val="21"/>
          <w:highlight w:val="none"/>
        </w:rPr>
        <w:t>”可通过公众号中的服务栏目进行查阅</w:t>
      </w:r>
      <w:r>
        <w:rPr>
          <w:rFonts w:hint="eastAsia" w:ascii="宋体" w:hAnsi="宋体"/>
          <w:color w:val="000000"/>
          <w:szCs w:val="21"/>
          <w:highlight w:val="none"/>
          <w:lang w:eastAsia="zh-CN"/>
        </w:rPr>
        <w:t>。</w:t>
      </w:r>
    </w:p>
    <w:p w14:paraId="0C182528">
      <w:pPr>
        <w:spacing w:line="360" w:lineRule="auto"/>
        <w:ind w:firstLine="420" w:firstLineChars="200"/>
        <w:rPr>
          <w:rFonts w:ascii="宋体" w:hAnsi="宋体"/>
          <w:b/>
          <w:color w:val="000000"/>
          <w:szCs w:val="21"/>
          <w:highlight w:val="none"/>
        </w:rPr>
      </w:pPr>
      <w:r>
        <w:rPr>
          <w:rFonts w:hint="eastAsia" w:ascii="宋体" w:hAnsi="宋体"/>
          <w:b/>
          <w:color w:val="000000"/>
          <w:szCs w:val="21"/>
          <w:highlight w:val="none"/>
        </w:rPr>
        <w:t>九、凡对本次招标提出询问，请按照以下方式联系</w:t>
      </w:r>
      <w:r>
        <w:rPr>
          <w:rFonts w:ascii="宋体" w:hAnsi="宋体"/>
          <w:b/>
          <w:color w:val="000000"/>
          <w:szCs w:val="21"/>
          <w:highlight w:val="none"/>
        </w:rPr>
        <w:t xml:space="preserve"> </w:t>
      </w:r>
    </w:p>
    <w:p w14:paraId="3EE79A19">
      <w:pPr>
        <w:spacing w:line="360" w:lineRule="auto"/>
        <w:ind w:firstLine="420" w:firstLineChars="200"/>
        <w:rPr>
          <w:rFonts w:hint="eastAsia" w:ascii="宋体" w:hAnsi="宋体" w:eastAsia="宋体"/>
          <w:color w:val="000000"/>
          <w:szCs w:val="21"/>
          <w:highlight w:val="none"/>
          <w:lang w:eastAsia="zh-CN"/>
        </w:rPr>
      </w:pPr>
      <w:r>
        <w:rPr>
          <w:rFonts w:ascii="宋体" w:hAnsi="宋体"/>
          <w:color w:val="000000"/>
          <w:szCs w:val="21"/>
          <w:highlight w:val="none"/>
        </w:rPr>
        <w:t>1</w:t>
      </w:r>
      <w:r>
        <w:rPr>
          <w:rFonts w:hint="eastAsia" w:ascii="宋体" w:hAnsi="宋体"/>
          <w:color w:val="000000"/>
          <w:szCs w:val="21"/>
          <w:highlight w:val="none"/>
        </w:rPr>
        <w:t>、招标人：</w:t>
      </w:r>
      <w:r>
        <w:rPr>
          <w:rFonts w:hint="eastAsia" w:ascii="宋体" w:hAnsi="宋体"/>
          <w:color w:val="000000"/>
          <w:szCs w:val="21"/>
          <w:highlight w:val="none"/>
          <w:lang w:eastAsia="zh-CN"/>
        </w:rPr>
        <w:t>平顶山湛源城市建设发展有限公司</w:t>
      </w:r>
    </w:p>
    <w:p w14:paraId="71AAE35D">
      <w:pPr>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联 系 人：</w:t>
      </w:r>
      <w:r>
        <w:rPr>
          <w:rFonts w:hint="eastAsia" w:ascii="宋体" w:hAnsi="宋体"/>
          <w:color w:val="000000"/>
          <w:szCs w:val="21"/>
          <w:highlight w:val="none"/>
          <w:lang w:val="en-US" w:eastAsia="zh-CN"/>
        </w:rPr>
        <w:t>杨先生</w:t>
      </w:r>
    </w:p>
    <w:p w14:paraId="67EEA444">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联系电话：</w:t>
      </w:r>
      <w:r>
        <w:rPr>
          <w:rFonts w:hint="eastAsia" w:ascii="宋体" w:hAnsi="宋体" w:eastAsia="宋体" w:cs="宋体"/>
          <w:color w:val="000000"/>
          <w:kern w:val="0"/>
          <w:szCs w:val="21"/>
          <w:highlight w:val="none"/>
        </w:rPr>
        <w:t>0375-2290209</w:t>
      </w:r>
    </w:p>
    <w:p w14:paraId="0493CB53">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地址</w:t>
      </w:r>
      <w:r>
        <w:rPr>
          <w:rFonts w:hint="eastAsia" w:ascii="宋体" w:hAnsi="宋体"/>
          <w:color w:val="000000"/>
          <w:szCs w:val="21"/>
          <w:highlight w:val="none"/>
          <w:lang w:eastAsia="zh-CN"/>
        </w:rPr>
        <w:t>：</w:t>
      </w:r>
      <w:r>
        <w:rPr>
          <w:rFonts w:hint="eastAsia" w:ascii="宋体" w:hAnsi="宋体" w:eastAsia="宋体" w:cs="宋体"/>
          <w:color w:val="000000"/>
          <w:kern w:val="0"/>
          <w:szCs w:val="21"/>
          <w:highlight w:val="none"/>
        </w:rPr>
        <w:t>平顶山市湛河区沁园西路（湛河区财政局院内）</w:t>
      </w:r>
    </w:p>
    <w:p w14:paraId="3961A65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招标人：平顶山市湛河区住房和城乡建设局</w:t>
      </w:r>
    </w:p>
    <w:p w14:paraId="738E4489">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联系人：</w:t>
      </w:r>
      <w:r>
        <w:rPr>
          <w:rFonts w:hint="eastAsia" w:ascii="宋体" w:hAnsi="宋体"/>
          <w:color w:val="000000"/>
          <w:szCs w:val="21"/>
          <w:highlight w:val="none"/>
          <w:lang w:val="en-US" w:eastAsia="zh-CN"/>
        </w:rPr>
        <w:t xml:space="preserve">古先生 </w:t>
      </w:r>
    </w:p>
    <w:p w14:paraId="36960347">
      <w:pPr>
        <w:spacing w:line="360" w:lineRule="auto"/>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rPr>
        <w:t>联系电话：</w:t>
      </w:r>
      <w:r>
        <w:rPr>
          <w:rFonts w:hint="eastAsia" w:ascii="宋体" w:hAnsi="宋体"/>
          <w:color w:val="000000"/>
          <w:szCs w:val="21"/>
          <w:highlight w:val="none"/>
          <w:lang w:val="en-US" w:eastAsia="zh-CN"/>
        </w:rPr>
        <w:t xml:space="preserve">0375-4976076 </w:t>
      </w:r>
    </w:p>
    <w:p w14:paraId="6A1C252E">
      <w:pPr>
        <w:spacing w:line="360" w:lineRule="auto"/>
        <w:ind w:firstLine="420" w:firstLineChars="200"/>
        <w:rPr>
          <w:rFonts w:hint="eastAsia"/>
          <w:color w:val="000000"/>
          <w:highlight w:val="none"/>
          <w:lang w:eastAsia="zh-CN"/>
        </w:rPr>
      </w:pPr>
      <w:r>
        <w:rPr>
          <w:rFonts w:hint="eastAsia" w:ascii="宋体" w:hAnsi="宋体"/>
          <w:color w:val="000000"/>
          <w:szCs w:val="21"/>
          <w:highlight w:val="none"/>
        </w:rPr>
        <w:t>地址：平顶山湛河区南环路81号</w:t>
      </w:r>
    </w:p>
    <w:p w14:paraId="486143F0">
      <w:pPr>
        <w:spacing w:line="360" w:lineRule="auto"/>
        <w:ind w:firstLine="420" w:firstLineChars="200"/>
        <w:rPr>
          <w:rFonts w:hint="eastAsia" w:ascii="宋体" w:hAnsi="宋体" w:eastAsia="宋体"/>
          <w:color w:val="000000"/>
          <w:szCs w:val="21"/>
          <w:highlight w:val="none"/>
          <w:lang w:eastAsia="zh-CN"/>
        </w:rPr>
      </w:pPr>
      <w:r>
        <w:rPr>
          <w:rFonts w:ascii="宋体" w:hAnsi="宋体"/>
          <w:color w:val="000000"/>
          <w:szCs w:val="21"/>
          <w:highlight w:val="none"/>
        </w:rPr>
        <w:t>2</w:t>
      </w:r>
      <w:r>
        <w:rPr>
          <w:rFonts w:hint="eastAsia" w:ascii="宋体" w:hAnsi="宋体"/>
          <w:color w:val="000000"/>
          <w:szCs w:val="21"/>
          <w:highlight w:val="none"/>
        </w:rPr>
        <w:t>、代理机构：</w:t>
      </w:r>
      <w:r>
        <w:rPr>
          <w:rFonts w:hint="eastAsia" w:ascii="宋体" w:hAnsi="宋体"/>
          <w:color w:val="000000"/>
          <w:szCs w:val="21"/>
          <w:highlight w:val="none"/>
          <w:lang w:eastAsia="zh-CN"/>
        </w:rPr>
        <w:t>河南正兴工程管理有限公司</w:t>
      </w:r>
    </w:p>
    <w:p w14:paraId="081B945E">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联系人：</w:t>
      </w:r>
      <w:r>
        <w:rPr>
          <w:rFonts w:hint="eastAsia" w:ascii="宋体" w:hAnsi="宋体"/>
          <w:color w:val="000000"/>
          <w:szCs w:val="21"/>
          <w:highlight w:val="none"/>
          <w:lang w:val="en-US" w:eastAsia="zh-CN"/>
        </w:rPr>
        <w:t>张先生</w:t>
      </w:r>
    </w:p>
    <w:p w14:paraId="7866CDC9">
      <w:pPr>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联系电话：</w:t>
      </w:r>
      <w:r>
        <w:rPr>
          <w:rFonts w:hint="eastAsia" w:ascii="宋体" w:hAnsi="宋体"/>
          <w:color w:val="000000"/>
          <w:szCs w:val="21"/>
          <w:highlight w:val="none"/>
          <w:lang w:val="en-US" w:eastAsia="zh-CN"/>
        </w:rPr>
        <w:t>18317653523</w:t>
      </w:r>
    </w:p>
    <w:p w14:paraId="0F55BEB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联系地址：平顶山市湛河区神马大道138号</w:t>
      </w:r>
    </w:p>
    <w:p w14:paraId="2E49BB07">
      <w:pPr>
        <w:widowControl/>
        <w:spacing w:line="360" w:lineRule="auto"/>
        <w:ind w:firstLine="420" w:firstLineChars="200"/>
        <w:rPr>
          <w:rFonts w:hint="eastAsia"/>
          <w:color w:val="000000"/>
          <w:szCs w:val="21"/>
          <w:highlight w:val="none"/>
        </w:rPr>
      </w:pPr>
      <w:r>
        <w:rPr>
          <w:rFonts w:hint="eastAsia"/>
          <w:color w:val="000000"/>
          <w:szCs w:val="21"/>
          <w:highlight w:val="none"/>
          <w:lang w:val="en-US" w:eastAsia="zh-CN"/>
        </w:rPr>
        <w:t>3、</w:t>
      </w:r>
      <w:r>
        <w:rPr>
          <w:rFonts w:hint="eastAsia"/>
          <w:color w:val="000000"/>
          <w:szCs w:val="21"/>
          <w:highlight w:val="none"/>
        </w:rPr>
        <w:t>监督单位：平顶山市建设工程招标投标事务中心</w:t>
      </w:r>
    </w:p>
    <w:p w14:paraId="4A73965C">
      <w:pPr>
        <w:widowControl/>
        <w:spacing w:line="360" w:lineRule="auto"/>
        <w:ind w:firstLine="420" w:firstLineChars="200"/>
        <w:rPr>
          <w:rFonts w:hint="eastAsia"/>
          <w:color w:val="000000"/>
          <w:szCs w:val="21"/>
          <w:highlight w:val="none"/>
        </w:rPr>
      </w:pPr>
      <w:r>
        <w:rPr>
          <w:rFonts w:hint="eastAsia"/>
          <w:color w:val="000000"/>
          <w:szCs w:val="21"/>
          <w:highlight w:val="none"/>
        </w:rPr>
        <w:t>联 系 人：王先生</w:t>
      </w:r>
    </w:p>
    <w:p w14:paraId="12FD8D45">
      <w:pPr>
        <w:widowControl/>
        <w:spacing w:line="360" w:lineRule="auto"/>
        <w:ind w:firstLine="420" w:firstLineChars="200"/>
        <w:rPr>
          <w:rFonts w:hint="eastAsia"/>
          <w:color w:val="000000"/>
          <w:szCs w:val="21"/>
          <w:highlight w:val="none"/>
        </w:rPr>
      </w:pPr>
      <w:r>
        <w:rPr>
          <w:rFonts w:hint="eastAsia"/>
          <w:color w:val="000000"/>
          <w:szCs w:val="21"/>
          <w:highlight w:val="none"/>
        </w:rPr>
        <w:t>联系电话：0375-2633905、0375-2633976</w:t>
      </w:r>
    </w:p>
    <w:p w14:paraId="1C17652F">
      <w:pPr>
        <w:widowControl/>
        <w:spacing w:line="360" w:lineRule="auto"/>
        <w:ind w:firstLine="420" w:firstLineChars="200"/>
        <w:jc w:val="both"/>
        <w:rPr>
          <w:rFonts w:hint="eastAsia"/>
          <w:color w:val="000000"/>
          <w:szCs w:val="21"/>
          <w:highlight w:val="none"/>
        </w:rPr>
      </w:pPr>
      <w:r>
        <w:rPr>
          <w:rFonts w:hint="eastAsia"/>
          <w:color w:val="000000"/>
          <w:szCs w:val="21"/>
          <w:highlight w:val="none"/>
        </w:rPr>
        <w:t>统一社会信用代码：12410400F73710520</w:t>
      </w:r>
      <w:r>
        <w:rPr>
          <w:rFonts w:hint="eastAsia"/>
          <w:color w:val="000000"/>
          <w:szCs w:val="21"/>
          <w:highlight w:val="none"/>
          <w:lang w:val="en-US" w:eastAsia="zh-CN"/>
        </w:rPr>
        <w:t>0</w:t>
      </w:r>
      <w:r>
        <w:rPr>
          <w:rFonts w:hint="eastAsia"/>
          <w:color w:val="000000"/>
          <w:szCs w:val="21"/>
          <w:highlight w:val="none"/>
        </w:rPr>
        <w:t xml:space="preserve">                                      </w:t>
      </w:r>
    </w:p>
    <w:p w14:paraId="532D219F">
      <w:pPr>
        <w:widowControl/>
        <w:spacing w:line="360" w:lineRule="auto"/>
        <w:jc w:val="both"/>
        <w:rPr>
          <w:rFonts w:hint="eastAsia"/>
          <w:color w:val="000000"/>
          <w:szCs w:val="21"/>
          <w:highlight w:val="none"/>
        </w:rPr>
      </w:pPr>
    </w:p>
    <w:p w14:paraId="7686A064">
      <w:pPr>
        <w:widowControl/>
        <w:spacing w:line="360" w:lineRule="auto"/>
        <w:jc w:val="both"/>
        <w:rPr>
          <w:rFonts w:hint="eastAsia"/>
          <w:color w:val="000000"/>
          <w:szCs w:val="21"/>
          <w:highlight w:val="none"/>
        </w:rPr>
      </w:pPr>
    </w:p>
    <w:p w14:paraId="719FF86C">
      <w:pPr>
        <w:widowControl/>
        <w:spacing w:line="360" w:lineRule="auto"/>
        <w:jc w:val="both"/>
        <w:rPr>
          <w:rFonts w:hint="eastAsia"/>
          <w:color w:val="000000"/>
          <w:szCs w:val="21"/>
          <w:highlight w:val="none"/>
        </w:rPr>
      </w:pPr>
    </w:p>
    <w:p w14:paraId="2A757992">
      <w:pPr>
        <w:widowControl/>
        <w:spacing w:line="360" w:lineRule="auto"/>
        <w:jc w:val="both"/>
        <w:rPr>
          <w:rFonts w:hint="eastAsia"/>
          <w:color w:val="000000"/>
          <w:szCs w:val="21"/>
          <w:highlight w:val="none"/>
        </w:rPr>
      </w:pPr>
    </w:p>
    <w:p w14:paraId="4F83F60F">
      <w:pPr>
        <w:widowControl/>
        <w:spacing w:line="360" w:lineRule="auto"/>
        <w:jc w:val="both"/>
        <w:rPr>
          <w:rFonts w:hint="eastAsia"/>
          <w:color w:val="000000"/>
          <w:szCs w:val="21"/>
          <w:highlight w:val="none"/>
        </w:rPr>
      </w:pPr>
    </w:p>
    <w:p w14:paraId="40E88A94">
      <w:pPr>
        <w:widowControl/>
        <w:spacing w:line="360" w:lineRule="auto"/>
        <w:jc w:val="both"/>
        <w:rPr>
          <w:rFonts w:hint="eastAsia"/>
          <w:color w:val="000000"/>
          <w:szCs w:val="21"/>
          <w:highlight w:val="none"/>
        </w:rPr>
      </w:pPr>
    </w:p>
    <w:p w14:paraId="3D45E8ED">
      <w:pPr>
        <w:pStyle w:val="2"/>
        <w:rPr>
          <w:rFonts w:hint="eastAsia"/>
          <w:color w:val="000000"/>
          <w:szCs w:val="21"/>
          <w:highlight w:val="none"/>
        </w:rPr>
      </w:pPr>
    </w:p>
    <w:p w14:paraId="587E5AEA">
      <w:pPr>
        <w:rPr>
          <w:rFonts w:hint="eastAsia"/>
          <w:color w:val="000000"/>
          <w:szCs w:val="21"/>
          <w:highlight w:val="none"/>
        </w:rPr>
      </w:pPr>
    </w:p>
    <w:p w14:paraId="384D717E">
      <w:pPr>
        <w:pStyle w:val="2"/>
        <w:rPr>
          <w:rFonts w:hint="eastAsia"/>
          <w:color w:val="000000"/>
          <w:szCs w:val="21"/>
          <w:highlight w:val="none"/>
        </w:rPr>
      </w:pPr>
    </w:p>
    <w:p w14:paraId="44675052">
      <w:pPr>
        <w:rPr>
          <w:rFonts w:hint="eastAsia"/>
          <w:color w:val="000000"/>
          <w:szCs w:val="21"/>
          <w:highlight w:val="none"/>
        </w:rPr>
      </w:pPr>
    </w:p>
    <w:p w14:paraId="062A7AAD">
      <w:pPr>
        <w:pStyle w:val="2"/>
        <w:rPr>
          <w:rFonts w:hint="eastAsia"/>
          <w:color w:val="000000"/>
          <w:szCs w:val="21"/>
          <w:highlight w:val="none"/>
        </w:rPr>
      </w:pPr>
    </w:p>
    <w:p w14:paraId="60F6A959">
      <w:pPr>
        <w:rPr>
          <w:rFonts w:hint="eastAsia"/>
          <w:color w:val="000000"/>
          <w:szCs w:val="21"/>
          <w:highlight w:val="none"/>
        </w:rPr>
      </w:pPr>
    </w:p>
    <w:p w14:paraId="1A69F412">
      <w:pPr>
        <w:pStyle w:val="2"/>
        <w:rPr>
          <w:rFonts w:hint="eastAsia"/>
          <w:color w:val="000000"/>
          <w:szCs w:val="21"/>
          <w:highlight w:val="none"/>
        </w:rPr>
      </w:pPr>
    </w:p>
    <w:p w14:paraId="59F58177">
      <w:pPr>
        <w:rPr>
          <w:rFonts w:hint="eastAsia"/>
          <w:color w:val="000000"/>
          <w:szCs w:val="21"/>
          <w:highlight w:val="none"/>
        </w:rPr>
      </w:pPr>
    </w:p>
    <w:p w14:paraId="71E2B300">
      <w:pPr>
        <w:pStyle w:val="2"/>
        <w:rPr>
          <w:rFonts w:hint="eastAsia"/>
          <w:color w:val="000000"/>
          <w:szCs w:val="21"/>
          <w:highlight w:val="none"/>
        </w:rPr>
      </w:pPr>
    </w:p>
    <w:p w14:paraId="30728B49">
      <w:pPr>
        <w:rPr>
          <w:rFonts w:hint="eastAsia"/>
          <w:color w:val="000000"/>
          <w:szCs w:val="21"/>
          <w:highlight w:val="none"/>
        </w:rPr>
      </w:pPr>
    </w:p>
    <w:p w14:paraId="6F682D6D">
      <w:pPr>
        <w:pStyle w:val="2"/>
        <w:rPr>
          <w:rFonts w:hint="eastAsia"/>
          <w:color w:val="000000"/>
          <w:szCs w:val="21"/>
          <w:highlight w:val="none"/>
        </w:rPr>
      </w:pPr>
    </w:p>
    <w:p w14:paraId="13575774">
      <w:pPr>
        <w:rPr>
          <w:rFonts w:hint="eastAsia"/>
        </w:rPr>
      </w:pPr>
    </w:p>
    <w:p w14:paraId="5F40D442">
      <w:pPr>
        <w:rPr>
          <w:rFonts w:hint="eastAsia"/>
        </w:rPr>
      </w:pPr>
    </w:p>
    <w:p w14:paraId="61D6B2CE">
      <w:pPr>
        <w:rPr>
          <w:rFonts w:hint="eastAsia"/>
        </w:rPr>
      </w:pPr>
    </w:p>
    <w:p w14:paraId="7633ED90">
      <w:pPr>
        <w:widowControl/>
        <w:spacing w:line="360" w:lineRule="auto"/>
        <w:jc w:val="both"/>
        <w:rPr>
          <w:rFonts w:hint="eastAsia"/>
          <w:color w:val="000000"/>
          <w:szCs w:val="21"/>
          <w:highlight w:val="none"/>
        </w:rPr>
      </w:pPr>
    </w:p>
    <w:p w14:paraId="71520C81">
      <w:pPr>
        <w:widowControl/>
        <w:spacing w:line="360" w:lineRule="auto"/>
        <w:jc w:val="both"/>
        <w:rPr>
          <w:rFonts w:hint="eastAsia"/>
          <w:color w:val="000000"/>
          <w:szCs w:val="21"/>
          <w:highlight w:val="none"/>
        </w:rPr>
      </w:pPr>
    </w:p>
    <w:p w14:paraId="54CAFCD1">
      <w:pPr>
        <w:keepNext/>
        <w:keepLines/>
        <w:spacing w:before="340" w:after="330"/>
        <w:jc w:val="center"/>
        <w:outlineLvl w:val="0"/>
        <w:rPr>
          <w:rFonts w:ascii="黑体" w:hAnsi="黑体" w:eastAsia="黑体"/>
          <w:b/>
          <w:bCs/>
          <w:color w:val="000000"/>
          <w:kern w:val="44"/>
          <w:sz w:val="32"/>
          <w:szCs w:val="28"/>
          <w:highlight w:val="none"/>
        </w:rPr>
      </w:pPr>
      <w:bookmarkStart w:id="1" w:name="_Toc155799710"/>
      <w:r>
        <w:rPr>
          <w:rFonts w:hint="eastAsia" w:ascii="黑体" w:hAnsi="黑体" w:eastAsia="黑体"/>
          <w:b/>
          <w:bCs/>
          <w:color w:val="000000"/>
          <w:kern w:val="44"/>
          <w:sz w:val="32"/>
          <w:szCs w:val="32"/>
          <w:highlight w:val="none"/>
        </w:rPr>
        <w:t>第二章  投标人须知</w:t>
      </w:r>
      <w:bookmarkEnd w:id="1"/>
    </w:p>
    <w:p w14:paraId="1A42D8F3">
      <w:pPr>
        <w:jc w:val="center"/>
        <w:rPr>
          <w:rFonts w:hint="eastAsia" w:ascii="黑体" w:eastAsia="黑体"/>
          <w:color w:val="000000"/>
          <w:sz w:val="24"/>
          <w:highlight w:val="none"/>
        </w:rPr>
      </w:pPr>
      <w:r>
        <w:rPr>
          <w:rFonts w:hint="eastAsia" w:ascii="黑体" w:eastAsia="黑体"/>
          <w:color w:val="000000"/>
          <w:sz w:val="24"/>
          <w:highlight w:val="none"/>
        </w:rPr>
        <w:t>投标人须知前附表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633"/>
        <w:gridCol w:w="6027"/>
      </w:tblGrid>
      <w:tr w14:paraId="3DBE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A4A772F">
            <w:pPr>
              <w:jc w:val="center"/>
              <w:rPr>
                <w:color w:val="auto"/>
                <w:highlight w:val="none"/>
              </w:rPr>
            </w:pPr>
            <w:r>
              <w:rPr>
                <w:rFonts w:hint="eastAsia"/>
                <w:color w:val="auto"/>
                <w:highlight w:val="none"/>
              </w:rPr>
              <w:t>条款号</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7BD287B">
            <w:pPr>
              <w:jc w:val="center"/>
              <w:rPr>
                <w:color w:val="auto"/>
                <w:highlight w:val="none"/>
              </w:rPr>
            </w:pPr>
            <w:r>
              <w:rPr>
                <w:rFonts w:hint="eastAsia"/>
                <w:color w:val="auto"/>
                <w:highlight w:val="none"/>
              </w:rPr>
              <w:t>条</w:t>
            </w:r>
            <w:r>
              <w:rPr>
                <w:color w:val="auto"/>
                <w:highlight w:val="none"/>
              </w:rPr>
              <w:t xml:space="preserve">  </w:t>
            </w:r>
            <w:r>
              <w:rPr>
                <w:rFonts w:hint="eastAsia"/>
                <w:color w:val="auto"/>
                <w:highlight w:val="none"/>
              </w:rPr>
              <w:t>款</w:t>
            </w:r>
            <w:r>
              <w:rPr>
                <w:color w:val="auto"/>
                <w:highlight w:val="none"/>
              </w:rPr>
              <w:t xml:space="preserve">  </w:t>
            </w:r>
            <w:r>
              <w:rPr>
                <w:rFonts w:hint="eastAsia"/>
                <w:color w:val="auto"/>
                <w:highlight w:val="none"/>
              </w:rPr>
              <w:t>名</w:t>
            </w:r>
            <w:r>
              <w:rPr>
                <w:color w:val="auto"/>
                <w:highlight w:val="none"/>
              </w:rPr>
              <w:t xml:space="preserve">  </w:t>
            </w:r>
            <w:r>
              <w:rPr>
                <w:rFonts w:hint="eastAsia"/>
                <w:color w:val="auto"/>
                <w:highlight w:val="none"/>
              </w:rPr>
              <w:t>称</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4265B655">
            <w:pPr>
              <w:jc w:val="center"/>
              <w:rPr>
                <w:color w:val="auto"/>
                <w:highlight w:val="none"/>
              </w:rPr>
            </w:pPr>
            <w:r>
              <w:rPr>
                <w:rFonts w:hint="eastAsia"/>
                <w:color w:val="auto"/>
                <w:highlight w:val="none"/>
              </w:rPr>
              <w:t>编</w:t>
            </w:r>
            <w:r>
              <w:rPr>
                <w:color w:val="auto"/>
                <w:highlight w:val="none"/>
              </w:rPr>
              <w:t xml:space="preserve">  </w:t>
            </w:r>
            <w:r>
              <w:rPr>
                <w:rFonts w:hint="eastAsia"/>
                <w:color w:val="auto"/>
                <w:highlight w:val="none"/>
              </w:rPr>
              <w:t>列</w:t>
            </w:r>
            <w:r>
              <w:rPr>
                <w:color w:val="auto"/>
                <w:highlight w:val="none"/>
              </w:rPr>
              <w:t xml:space="preserve">  </w:t>
            </w:r>
            <w:r>
              <w:rPr>
                <w:rFonts w:hint="eastAsia"/>
                <w:color w:val="auto"/>
                <w:highlight w:val="none"/>
              </w:rPr>
              <w:t>内</w:t>
            </w:r>
            <w:r>
              <w:rPr>
                <w:color w:val="auto"/>
                <w:highlight w:val="none"/>
              </w:rPr>
              <w:t xml:space="preserve">  </w:t>
            </w:r>
            <w:r>
              <w:rPr>
                <w:rFonts w:hint="eastAsia"/>
                <w:color w:val="auto"/>
                <w:highlight w:val="none"/>
              </w:rPr>
              <w:t>容</w:t>
            </w:r>
          </w:p>
        </w:tc>
      </w:tr>
      <w:tr w14:paraId="57F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B2EB0E8">
            <w:pPr>
              <w:jc w:val="center"/>
              <w:rPr>
                <w:color w:val="auto"/>
                <w:highlight w:val="none"/>
              </w:rPr>
            </w:pPr>
            <w:r>
              <w:rPr>
                <w:color w:val="auto"/>
                <w:highlight w:val="none"/>
              </w:rPr>
              <w:t>1.1.2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F954AB">
            <w:pPr>
              <w:jc w:val="center"/>
              <w:rPr>
                <w:color w:val="auto"/>
                <w:highlight w:val="none"/>
              </w:rPr>
            </w:pPr>
            <w:r>
              <w:rPr>
                <w:rFonts w:hint="eastAsia"/>
                <w:color w:val="auto"/>
                <w:highlight w:val="none"/>
              </w:rPr>
              <w:t>招标人</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28C0DD34">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招标人：</w:t>
            </w:r>
            <w:r>
              <w:rPr>
                <w:rFonts w:hint="eastAsia" w:ascii="宋体" w:hAnsi="宋体"/>
                <w:color w:val="auto"/>
                <w:szCs w:val="21"/>
                <w:highlight w:val="none"/>
                <w:lang w:eastAsia="zh-CN"/>
              </w:rPr>
              <w:t>平顶山湛源城市建设发展有限公司</w:t>
            </w:r>
          </w:p>
          <w:p w14:paraId="404271AF">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lang w:val="en-US" w:eastAsia="zh-CN"/>
              </w:rPr>
              <w:t>杨先生</w:t>
            </w:r>
          </w:p>
          <w:p w14:paraId="34B755F2">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eastAsia="宋体" w:cs="宋体"/>
                <w:color w:val="auto"/>
                <w:kern w:val="0"/>
                <w:szCs w:val="21"/>
                <w:highlight w:val="none"/>
              </w:rPr>
              <w:t>0375-2290209</w:t>
            </w:r>
          </w:p>
          <w:p w14:paraId="565B3BEF">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w:t>
            </w:r>
            <w:r>
              <w:rPr>
                <w:rFonts w:hint="eastAsia" w:ascii="宋体" w:hAnsi="宋体" w:eastAsia="宋体" w:cs="宋体"/>
                <w:color w:val="auto"/>
                <w:kern w:val="0"/>
                <w:szCs w:val="21"/>
                <w:highlight w:val="none"/>
              </w:rPr>
              <w:t>平顶山市湛河区沁园西路（湛河区财政局院内）</w:t>
            </w:r>
          </w:p>
          <w:p w14:paraId="00FA635E">
            <w:pPr>
              <w:spacing w:line="360" w:lineRule="auto"/>
              <w:rPr>
                <w:rFonts w:hint="eastAsia" w:ascii="宋体" w:hAnsi="宋体"/>
                <w:color w:val="auto"/>
                <w:szCs w:val="21"/>
                <w:highlight w:val="none"/>
              </w:rPr>
            </w:pPr>
            <w:r>
              <w:rPr>
                <w:rFonts w:hint="eastAsia" w:ascii="宋体" w:hAnsi="宋体"/>
                <w:color w:val="auto"/>
                <w:szCs w:val="21"/>
                <w:highlight w:val="none"/>
              </w:rPr>
              <w:t>招标人：平顶山市湛河区住房和城乡建设局</w:t>
            </w:r>
          </w:p>
          <w:p w14:paraId="2BEDF40C">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古先生 </w:t>
            </w:r>
          </w:p>
          <w:p w14:paraId="7E2EA7AC">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 xml:space="preserve">4976076 </w:t>
            </w:r>
          </w:p>
          <w:p w14:paraId="1B5EB4D4">
            <w:pPr>
              <w:spacing w:line="360" w:lineRule="auto"/>
              <w:rPr>
                <w:color w:val="auto"/>
                <w:highlight w:val="none"/>
              </w:rPr>
            </w:pPr>
            <w:r>
              <w:rPr>
                <w:rFonts w:hint="eastAsia" w:ascii="宋体" w:hAnsi="宋体"/>
                <w:color w:val="auto"/>
                <w:szCs w:val="21"/>
                <w:highlight w:val="none"/>
              </w:rPr>
              <w:t>地址：平顶山湛河区南环路81号</w:t>
            </w:r>
          </w:p>
        </w:tc>
      </w:tr>
      <w:tr w14:paraId="4D2A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66DB1FFB">
            <w:pPr>
              <w:jc w:val="center"/>
              <w:rPr>
                <w:color w:val="auto"/>
                <w:highlight w:val="none"/>
              </w:rPr>
            </w:pPr>
            <w:r>
              <w:rPr>
                <w:color w:val="auto"/>
                <w:highlight w:val="none"/>
              </w:rPr>
              <w:t>1.1.3</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E371482">
            <w:pPr>
              <w:jc w:val="center"/>
              <w:rPr>
                <w:color w:val="auto"/>
                <w:highlight w:val="none"/>
              </w:rPr>
            </w:pPr>
            <w:r>
              <w:rPr>
                <w:rFonts w:hint="eastAsia"/>
                <w:color w:val="auto"/>
                <w:highlight w:val="none"/>
              </w:rPr>
              <w:t>招标代理机构</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4E038EAC">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代理机构：</w:t>
            </w:r>
            <w:r>
              <w:rPr>
                <w:rFonts w:hint="eastAsia" w:ascii="宋体" w:hAnsi="宋体" w:eastAsia="宋体" w:cs="Times New Roman"/>
                <w:color w:val="auto"/>
                <w:szCs w:val="21"/>
                <w:highlight w:val="none"/>
                <w:lang w:eastAsia="zh-CN"/>
              </w:rPr>
              <w:t>河南正兴工程管理有限公司</w:t>
            </w:r>
          </w:p>
          <w:p w14:paraId="3BAF9379">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人：张先生</w:t>
            </w:r>
          </w:p>
          <w:p w14:paraId="580A3007">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联系电话：18317653523</w:t>
            </w:r>
          </w:p>
          <w:p w14:paraId="46B9AD85">
            <w:pPr>
              <w:spacing w:line="360" w:lineRule="auto"/>
              <w:rPr>
                <w:color w:val="auto"/>
                <w:szCs w:val="21"/>
                <w:highlight w:val="none"/>
              </w:rPr>
            </w:pPr>
            <w:r>
              <w:rPr>
                <w:rFonts w:hint="eastAsia" w:ascii="宋体" w:hAnsi="宋体" w:eastAsia="宋体" w:cs="Times New Roman"/>
                <w:color w:val="auto"/>
                <w:szCs w:val="21"/>
                <w:highlight w:val="none"/>
              </w:rPr>
              <w:t>联系地址：平顶山市湛河区神马大道138号</w:t>
            </w:r>
          </w:p>
        </w:tc>
      </w:tr>
      <w:tr w14:paraId="7519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28BDD2D1">
            <w:pPr>
              <w:jc w:val="center"/>
              <w:rPr>
                <w:color w:val="auto"/>
                <w:highlight w:val="none"/>
              </w:rPr>
            </w:pPr>
            <w:r>
              <w:rPr>
                <w:color w:val="auto"/>
                <w:highlight w:val="none"/>
              </w:rPr>
              <w:t>1.1.4</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2B718B7">
            <w:pPr>
              <w:jc w:val="center"/>
              <w:rPr>
                <w:color w:val="auto"/>
                <w:highlight w:val="none"/>
              </w:rPr>
            </w:pPr>
            <w:r>
              <w:rPr>
                <w:rFonts w:hint="eastAsia"/>
                <w:color w:val="auto"/>
                <w:highlight w:val="none"/>
              </w:rPr>
              <w:t>项目名称</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30CC5E7D">
            <w:pPr>
              <w:rPr>
                <w:rFonts w:hint="eastAsia" w:eastAsia="宋体"/>
                <w:color w:val="auto"/>
                <w:szCs w:val="21"/>
                <w:highlight w:val="none"/>
                <w:lang w:eastAsia="zh-CN"/>
              </w:rPr>
            </w:pPr>
            <w:r>
              <w:rPr>
                <w:rFonts w:hint="eastAsia"/>
                <w:color w:val="auto"/>
                <w:szCs w:val="21"/>
                <w:highlight w:val="none"/>
                <w:lang w:eastAsia="zh-CN"/>
              </w:rPr>
              <w:t>平顶山市湛河区南环路街道办事处消防队家属院、马庄街道办事处马办家属院、北渡街道办事处市一中家属院、荆山街道办事处市农科院家属院等7个老旧小区主体改造项目</w:t>
            </w:r>
          </w:p>
        </w:tc>
      </w:tr>
      <w:tr w14:paraId="0F12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15592E05">
            <w:pPr>
              <w:jc w:val="center"/>
              <w:rPr>
                <w:color w:val="auto"/>
                <w:highlight w:val="none"/>
              </w:rPr>
            </w:pPr>
            <w:r>
              <w:rPr>
                <w:color w:val="auto"/>
                <w:highlight w:val="none"/>
              </w:rPr>
              <w:t>1.1.5</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A02545B">
            <w:pPr>
              <w:jc w:val="center"/>
              <w:rPr>
                <w:color w:val="auto"/>
                <w:highlight w:val="none"/>
              </w:rPr>
            </w:pPr>
            <w:r>
              <w:rPr>
                <w:rFonts w:hint="eastAsia"/>
                <w:color w:val="auto"/>
                <w:highlight w:val="none"/>
              </w:rPr>
              <w:t>建设地点</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15461A7B">
            <w:pPr>
              <w:spacing w:line="400" w:lineRule="exact"/>
              <w:rPr>
                <w:rFonts w:hint="default" w:eastAsia="宋体"/>
                <w:color w:val="auto"/>
                <w:szCs w:val="21"/>
                <w:highlight w:val="none"/>
                <w:lang w:val="en-US" w:eastAsia="zh-CN"/>
              </w:rPr>
            </w:pPr>
            <w:r>
              <w:rPr>
                <w:rFonts w:hint="eastAsia"/>
                <w:color w:val="auto"/>
                <w:szCs w:val="21"/>
                <w:highlight w:val="none"/>
                <w:lang w:val="en-US" w:eastAsia="zh-CN"/>
              </w:rPr>
              <w:t>平顶山市湛河区</w:t>
            </w:r>
          </w:p>
        </w:tc>
      </w:tr>
      <w:tr w14:paraId="7962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7977DB58">
            <w:pPr>
              <w:jc w:val="center"/>
              <w:rPr>
                <w:color w:val="auto"/>
                <w:highlight w:val="none"/>
              </w:rPr>
            </w:pPr>
            <w:r>
              <w:rPr>
                <w:color w:val="auto"/>
                <w:highlight w:val="none"/>
              </w:rPr>
              <w:t>1.2.1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D0532DA">
            <w:pPr>
              <w:jc w:val="center"/>
              <w:rPr>
                <w:color w:val="auto"/>
                <w:highlight w:val="none"/>
              </w:rPr>
            </w:pPr>
            <w:r>
              <w:rPr>
                <w:rFonts w:hint="eastAsia"/>
                <w:color w:val="auto"/>
                <w:highlight w:val="none"/>
              </w:rPr>
              <w:t>资金来源</w:t>
            </w:r>
          </w:p>
        </w:tc>
        <w:tc>
          <w:tcPr>
            <w:tcW w:w="6027" w:type="dxa"/>
            <w:tcBorders>
              <w:top w:val="single" w:color="auto" w:sz="4" w:space="0"/>
              <w:left w:val="single" w:color="auto" w:sz="4" w:space="0"/>
              <w:bottom w:val="single" w:color="auto" w:sz="4" w:space="0"/>
              <w:right w:val="single" w:color="auto" w:sz="4" w:space="0"/>
            </w:tcBorders>
            <w:noWrap w:val="0"/>
            <w:vAlign w:val="top"/>
          </w:tcPr>
          <w:p w14:paraId="4068CA0A">
            <w:pPr>
              <w:spacing w:line="400" w:lineRule="exact"/>
              <w:rPr>
                <w:color w:val="auto"/>
                <w:szCs w:val="21"/>
                <w:highlight w:val="none"/>
              </w:rPr>
            </w:pPr>
            <w:r>
              <w:rPr>
                <w:rFonts w:hint="eastAsia" w:ascii="宋体" w:hAnsi="宋体"/>
                <w:color w:val="auto"/>
                <w:szCs w:val="21"/>
                <w:highlight w:val="none"/>
                <w:lang w:val="en-US" w:eastAsia="zh-CN"/>
              </w:rPr>
              <w:t>上级资金及区财政资金解决</w:t>
            </w:r>
          </w:p>
        </w:tc>
      </w:tr>
      <w:tr w14:paraId="7469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05E62953">
            <w:pPr>
              <w:jc w:val="center"/>
              <w:rPr>
                <w:color w:val="auto"/>
                <w:highlight w:val="none"/>
              </w:rPr>
            </w:pPr>
            <w:r>
              <w:rPr>
                <w:color w:val="auto"/>
                <w:highlight w:val="none"/>
              </w:rPr>
              <w:t>1.2.2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6AED8A3">
            <w:pPr>
              <w:jc w:val="center"/>
              <w:rPr>
                <w:color w:val="auto"/>
                <w:highlight w:val="none"/>
              </w:rPr>
            </w:pPr>
            <w:r>
              <w:rPr>
                <w:rFonts w:hint="eastAsia"/>
                <w:color w:val="auto"/>
                <w:highlight w:val="none"/>
              </w:rPr>
              <w:t>出资比例</w:t>
            </w:r>
          </w:p>
        </w:tc>
        <w:tc>
          <w:tcPr>
            <w:tcW w:w="6027" w:type="dxa"/>
            <w:tcBorders>
              <w:top w:val="single" w:color="auto" w:sz="4" w:space="0"/>
              <w:left w:val="single" w:color="auto" w:sz="4" w:space="0"/>
              <w:bottom w:val="single" w:color="auto" w:sz="4" w:space="0"/>
              <w:right w:val="single" w:color="auto" w:sz="4" w:space="0"/>
            </w:tcBorders>
            <w:noWrap w:val="0"/>
            <w:vAlign w:val="top"/>
          </w:tcPr>
          <w:p w14:paraId="10A88661">
            <w:pPr>
              <w:spacing w:line="400" w:lineRule="exact"/>
              <w:rPr>
                <w:color w:val="auto"/>
                <w:szCs w:val="21"/>
                <w:highlight w:val="none"/>
              </w:rPr>
            </w:pPr>
            <w:r>
              <w:rPr>
                <w:color w:val="auto"/>
                <w:szCs w:val="21"/>
                <w:highlight w:val="none"/>
              </w:rPr>
              <w:t>100%</w:t>
            </w:r>
          </w:p>
        </w:tc>
      </w:tr>
      <w:tr w14:paraId="1F9C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4A96D36">
            <w:pPr>
              <w:jc w:val="center"/>
              <w:rPr>
                <w:color w:val="auto"/>
                <w:szCs w:val="21"/>
                <w:highlight w:val="none"/>
              </w:rPr>
            </w:pPr>
            <w:r>
              <w:rPr>
                <w:color w:val="auto"/>
                <w:szCs w:val="21"/>
                <w:highlight w:val="none"/>
              </w:rPr>
              <w:t>1.2.3</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B8C1BAD">
            <w:pPr>
              <w:jc w:val="center"/>
              <w:rPr>
                <w:color w:val="auto"/>
                <w:szCs w:val="21"/>
                <w:highlight w:val="none"/>
              </w:rPr>
            </w:pPr>
            <w:r>
              <w:rPr>
                <w:rFonts w:hint="eastAsia"/>
                <w:color w:val="auto"/>
                <w:szCs w:val="21"/>
                <w:highlight w:val="none"/>
              </w:rPr>
              <w:t>资金落实情况</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5C30F3FC">
            <w:pPr>
              <w:spacing w:line="400" w:lineRule="exact"/>
              <w:rPr>
                <w:color w:val="auto"/>
                <w:szCs w:val="21"/>
                <w:highlight w:val="none"/>
              </w:rPr>
            </w:pPr>
            <w:r>
              <w:rPr>
                <w:rFonts w:hint="eastAsia"/>
                <w:color w:val="auto"/>
                <w:szCs w:val="21"/>
                <w:highlight w:val="none"/>
              </w:rPr>
              <w:t>已落实</w:t>
            </w:r>
          </w:p>
        </w:tc>
      </w:tr>
      <w:tr w14:paraId="2603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2044F452">
            <w:pPr>
              <w:jc w:val="center"/>
              <w:rPr>
                <w:color w:val="auto"/>
                <w:szCs w:val="21"/>
                <w:highlight w:val="none"/>
              </w:rPr>
            </w:pPr>
            <w:r>
              <w:rPr>
                <w:color w:val="auto"/>
                <w:szCs w:val="21"/>
                <w:highlight w:val="none"/>
              </w:rPr>
              <w:t>1.3.1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4E7130C">
            <w:pPr>
              <w:jc w:val="center"/>
              <w:rPr>
                <w:color w:val="auto"/>
                <w:szCs w:val="21"/>
                <w:highlight w:val="none"/>
              </w:rPr>
            </w:pPr>
            <w:r>
              <w:rPr>
                <w:rFonts w:hint="eastAsia"/>
                <w:color w:val="auto"/>
                <w:szCs w:val="21"/>
                <w:highlight w:val="none"/>
              </w:rPr>
              <w:t>招标范围</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268759B8">
            <w:pPr>
              <w:spacing w:line="276" w:lineRule="auto"/>
              <w:rPr>
                <w:color w:val="auto"/>
                <w:szCs w:val="21"/>
                <w:highlight w:val="none"/>
              </w:rPr>
            </w:pPr>
            <w:r>
              <w:rPr>
                <w:rFonts w:hint="eastAsia"/>
                <w:color w:val="auto"/>
                <w:szCs w:val="21"/>
                <w:highlight w:val="none"/>
              </w:rPr>
              <w:t>工程量清单及图纸中的所有内容（包括项目概况所有内容）</w:t>
            </w:r>
          </w:p>
        </w:tc>
      </w:tr>
      <w:tr w14:paraId="3586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001F2A7B">
            <w:pPr>
              <w:jc w:val="center"/>
              <w:rPr>
                <w:color w:val="auto"/>
                <w:szCs w:val="21"/>
                <w:highlight w:val="none"/>
              </w:rPr>
            </w:pPr>
            <w:r>
              <w:rPr>
                <w:color w:val="auto"/>
                <w:szCs w:val="21"/>
                <w:highlight w:val="none"/>
              </w:rPr>
              <w:t>1.3.2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E37DBA5">
            <w:pPr>
              <w:jc w:val="center"/>
              <w:rPr>
                <w:color w:val="auto"/>
                <w:szCs w:val="21"/>
                <w:highlight w:val="none"/>
              </w:rPr>
            </w:pPr>
            <w:r>
              <w:rPr>
                <w:rFonts w:hint="eastAsia"/>
                <w:color w:val="auto"/>
                <w:szCs w:val="21"/>
                <w:highlight w:val="none"/>
              </w:rPr>
              <w:t>计划工期</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644C7622">
            <w:pPr>
              <w:spacing w:line="276" w:lineRule="auto"/>
              <w:rPr>
                <w:rFonts w:hint="default" w:eastAsia="宋体"/>
                <w:color w:val="auto"/>
                <w:szCs w:val="21"/>
                <w:highlight w:val="none"/>
                <w:lang w:val="en-US" w:eastAsia="zh-CN"/>
              </w:rPr>
            </w:pPr>
            <w:r>
              <w:rPr>
                <w:rFonts w:hint="eastAsia" w:eastAsia="宋体"/>
                <w:color w:val="auto"/>
                <w:szCs w:val="21"/>
                <w:highlight w:val="none"/>
                <w:lang w:val="en-US" w:eastAsia="zh-CN"/>
              </w:rPr>
              <w:t>12个月</w:t>
            </w:r>
          </w:p>
        </w:tc>
      </w:tr>
      <w:tr w14:paraId="0551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4C63B739">
            <w:pPr>
              <w:jc w:val="center"/>
              <w:rPr>
                <w:color w:val="auto"/>
                <w:szCs w:val="21"/>
                <w:highlight w:val="none"/>
              </w:rPr>
            </w:pPr>
            <w:r>
              <w:rPr>
                <w:color w:val="auto"/>
                <w:szCs w:val="21"/>
                <w:highlight w:val="none"/>
              </w:rPr>
              <w:t>1.3.3</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9ECAA28">
            <w:pPr>
              <w:jc w:val="center"/>
              <w:rPr>
                <w:color w:val="auto"/>
                <w:szCs w:val="21"/>
                <w:highlight w:val="none"/>
              </w:rPr>
            </w:pPr>
            <w:r>
              <w:rPr>
                <w:rFonts w:hint="eastAsia"/>
                <w:color w:val="auto"/>
                <w:szCs w:val="21"/>
                <w:highlight w:val="none"/>
              </w:rPr>
              <w:t>质量标准</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6375EC42">
            <w:pPr>
              <w:spacing w:line="312" w:lineRule="auto"/>
              <w:rPr>
                <w:color w:val="auto"/>
                <w:szCs w:val="21"/>
                <w:highlight w:val="none"/>
              </w:rPr>
            </w:pPr>
            <w:r>
              <w:rPr>
                <w:rFonts w:hint="eastAsia"/>
                <w:color w:val="auto"/>
                <w:szCs w:val="21"/>
                <w:highlight w:val="none"/>
              </w:rPr>
              <w:t>合格</w:t>
            </w:r>
          </w:p>
        </w:tc>
      </w:tr>
      <w:tr w14:paraId="27FA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7C8E43C">
            <w:pPr>
              <w:jc w:val="center"/>
              <w:rPr>
                <w:color w:val="auto"/>
                <w:szCs w:val="21"/>
                <w:highlight w:val="none"/>
              </w:rPr>
            </w:pPr>
            <w:r>
              <w:rPr>
                <w:color w:val="auto"/>
                <w:szCs w:val="21"/>
                <w:highlight w:val="none"/>
              </w:rPr>
              <w:t>1.4.1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BC1609A">
            <w:pPr>
              <w:jc w:val="center"/>
              <w:rPr>
                <w:color w:val="auto"/>
                <w:szCs w:val="21"/>
                <w:highlight w:val="none"/>
              </w:rPr>
            </w:pPr>
            <w:r>
              <w:rPr>
                <w:rFonts w:hint="eastAsia"/>
                <w:color w:val="auto"/>
                <w:szCs w:val="21"/>
                <w:highlight w:val="none"/>
              </w:rPr>
              <w:t>投标人资质条件、能力</w:t>
            </w:r>
          </w:p>
          <w:p w14:paraId="2531366A">
            <w:pPr>
              <w:jc w:val="center"/>
              <w:rPr>
                <w:color w:val="auto"/>
                <w:szCs w:val="21"/>
                <w:highlight w:val="none"/>
              </w:rPr>
            </w:pPr>
            <w:r>
              <w:rPr>
                <w:rFonts w:hint="eastAsia"/>
                <w:color w:val="auto"/>
                <w:szCs w:val="21"/>
                <w:highlight w:val="none"/>
              </w:rPr>
              <w:t>和信誉</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18F2B4F7">
            <w:pPr>
              <w:ind w:right="-54" w:rightChars="-26"/>
              <w:rPr>
                <w:color w:val="auto"/>
                <w:szCs w:val="21"/>
                <w:highlight w:val="none"/>
              </w:rPr>
            </w:pPr>
            <w:r>
              <w:rPr>
                <w:rFonts w:hint="eastAsia"/>
                <w:color w:val="auto"/>
                <w:szCs w:val="21"/>
                <w:highlight w:val="none"/>
              </w:rPr>
              <w:t>详见招标公告“三、投标人资格要求”</w:t>
            </w:r>
            <w:r>
              <w:rPr>
                <w:color w:val="auto"/>
                <w:szCs w:val="21"/>
                <w:highlight w:val="none"/>
              </w:rPr>
              <w:t xml:space="preserve">                                                                                                                                                                                                                                                                 </w:t>
            </w:r>
          </w:p>
        </w:tc>
      </w:tr>
      <w:tr w14:paraId="6AF3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4C1F47F">
            <w:pPr>
              <w:jc w:val="center"/>
              <w:rPr>
                <w:color w:val="auto"/>
                <w:highlight w:val="none"/>
              </w:rPr>
            </w:pPr>
            <w:r>
              <w:rPr>
                <w:color w:val="auto"/>
                <w:highlight w:val="none"/>
              </w:rPr>
              <w:t>1.4.2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1592564">
            <w:pPr>
              <w:jc w:val="center"/>
              <w:rPr>
                <w:color w:val="auto"/>
                <w:highlight w:val="none"/>
              </w:rPr>
            </w:pPr>
            <w:r>
              <w:rPr>
                <w:rFonts w:hint="eastAsia"/>
                <w:color w:val="auto"/>
                <w:highlight w:val="none"/>
              </w:rPr>
              <w:t>是否接受联合体投标</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0D31406F">
            <w:pPr>
              <w:spacing w:line="312" w:lineRule="auto"/>
              <w:rPr>
                <w:color w:val="auto"/>
                <w:highlight w:val="none"/>
              </w:rPr>
            </w:pPr>
            <w:r>
              <w:rPr>
                <w:rFonts w:hint="eastAsia"/>
                <w:color w:val="auto"/>
                <w:highlight w:val="none"/>
              </w:rPr>
              <w:t>不接受</w:t>
            </w:r>
          </w:p>
        </w:tc>
      </w:tr>
      <w:tr w14:paraId="3A75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0BFF51EE">
            <w:pPr>
              <w:jc w:val="center"/>
              <w:rPr>
                <w:color w:val="auto"/>
                <w:highlight w:val="none"/>
              </w:rPr>
            </w:pPr>
            <w:r>
              <w:rPr>
                <w:color w:val="auto"/>
                <w:highlight w:val="none"/>
              </w:rPr>
              <w:t>1.9.1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5098022">
            <w:pPr>
              <w:jc w:val="center"/>
              <w:rPr>
                <w:color w:val="auto"/>
                <w:highlight w:val="none"/>
              </w:rPr>
            </w:pPr>
            <w:r>
              <w:rPr>
                <w:rFonts w:hint="eastAsia"/>
                <w:color w:val="auto"/>
                <w:highlight w:val="none"/>
              </w:rPr>
              <w:t>踏勘现场</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327D3FD7">
            <w:pPr>
              <w:spacing w:line="312" w:lineRule="auto"/>
              <w:rPr>
                <w:color w:val="auto"/>
                <w:highlight w:val="none"/>
              </w:rPr>
            </w:pPr>
            <w:r>
              <w:rPr>
                <w:rFonts w:hint="eastAsia"/>
                <w:color w:val="auto"/>
                <w:highlight w:val="none"/>
              </w:rPr>
              <w:t>不组织，投标人自行踏勘现场</w:t>
            </w:r>
          </w:p>
        </w:tc>
      </w:tr>
      <w:tr w14:paraId="5281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1038C720">
            <w:pPr>
              <w:jc w:val="center"/>
              <w:rPr>
                <w:color w:val="auto"/>
                <w:highlight w:val="none"/>
              </w:rPr>
            </w:pPr>
            <w:r>
              <w:rPr>
                <w:color w:val="auto"/>
                <w:highlight w:val="none"/>
              </w:rPr>
              <w:t>1.10.1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E3ED5A7">
            <w:pPr>
              <w:jc w:val="center"/>
              <w:rPr>
                <w:color w:val="auto"/>
                <w:highlight w:val="none"/>
              </w:rPr>
            </w:pPr>
            <w:r>
              <w:rPr>
                <w:rFonts w:hint="eastAsia"/>
                <w:color w:val="auto"/>
                <w:highlight w:val="none"/>
              </w:rPr>
              <w:t>投标预备会</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DAEE13E">
            <w:pPr>
              <w:spacing w:line="312" w:lineRule="auto"/>
              <w:rPr>
                <w:color w:val="auto"/>
                <w:highlight w:val="none"/>
              </w:rPr>
            </w:pPr>
            <w:r>
              <w:rPr>
                <w:rFonts w:hint="eastAsia"/>
                <w:color w:val="auto"/>
                <w:highlight w:val="none"/>
              </w:rPr>
              <w:t>不召开</w:t>
            </w:r>
          </w:p>
        </w:tc>
      </w:tr>
      <w:tr w14:paraId="09B7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78DFC429">
            <w:pPr>
              <w:jc w:val="center"/>
              <w:rPr>
                <w:color w:val="auto"/>
                <w:highlight w:val="none"/>
              </w:rPr>
            </w:pPr>
            <w:r>
              <w:rPr>
                <w:color w:val="auto"/>
                <w:highlight w:val="none"/>
              </w:rPr>
              <w:t>1.10.2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7839F18">
            <w:pPr>
              <w:ind w:right="-107" w:rightChars="-51"/>
              <w:jc w:val="center"/>
              <w:rPr>
                <w:color w:val="auto"/>
                <w:highlight w:val="none"/>
              </w:rPr>
            </w:pPr>
            <w:r>
              <w:rPr>
                <w:rFonts w:hint="eastAsia"/>
                <w:color w:val="auto"/>
                <w:highlight w:val="none"/>
              </w:rPr>
              <w:t>投标人提出问题的截止时间</w:t>
            </w:r>
          </w:p>
        </w:tc>
        <w:tc>
          <w:tcPr>
            <w:tcW w:w="6027" w:type="dxa"/>
            <w:tcBorders>
              <w:top w:val="single" w:color="auto" w:sz="4" w:space="0"/>
              <w:left w:val="single" w:color="auto" w:sz="4" w:space="0"/>
              <w:bottom w:val="single" w:color="auto" w:sz="4" w:space="0"/>
              <w:right w:val="single" w:color="auto" w:sz="4" w:space="0"/>
            </w:tcBorders>
            <w:noWrap w:val="0"/>
            <w:vAlign w:val="top"/>
          </w:tcPr>
          <w:p w14:paraId="451A84A9">
            <w:pPr>
              <w:autoSpaceDE w:val="0"/>
              <w:autoSpaceDN w:val="0"/>
              <w:adjustRightInd w:val="0"/>
              <w:spacing w:line="360" w:lineRule="auto"/>
              <w:jc w:val="left"/>
              <w:rPr>
                <w:rFonts w:ascii="宋体" w:hAnsi="宋体"/>
                <w:color w:val="auto"/>
                <w:szCs w:val="21"/>
                <w:highlight w:val="none"/>
              </w:rPr>
            </w:pPr>
            <w:r>
              <w:rPr>
                <w:rFonts w:hint="eastAsia" w:ascii="宋体" w:hAnsi="宋体"/>
                <w:color w:val="auto"/>
                <w:szCs w:val="21"/>
                <w:highlight w:val="none"/>
              </w:rPr>
              <w:t>递交投标文件的截止之日10日前</w:t>
            </w:r>
          </w:p>
        </w:tc>
      </w:tr>
      <w:tr w14:paraId="0C32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2AA24126">
            <w:pPr>
              <w:jc w:val="center"/>
              <w:rPr>
                <w:color w:val="auto"/>
                <w:highlight w:val="none"/>
              </w:rPr>
            </w:pPr>
            <w:r>
              <w:rPr>
                <w:color w:val="auto"/>
                <w:highlight w:val="none"/>
              </w:rPr>
              <w:t>1.10.3</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E484CDC">
            <w:pPr>
              <w:jc w:val="center"/>
              <w:rPr>
                <w:color w:val="auto"/>
                <w:highlight w:val="none"/>
              </w:rPr>
            </w:pPr>
            <w:r>
              <w:rPr>
                <w:rFonts w:hint="eastAsia"/>
                <w:color w:val="auto"/>
                <w:highlight w:val="none"/>
              </w:rPr>
              <w:t>招标人澄清的时间</w:t>
            </w:r>
          </w:p>
        </w:tc>
        <w:tc>
          <w:tcPr>
            <w:tcW w:w="6027" w:type="dxa"/>
            <w:tcBorders>
              <w:top w:val="single" w:color="auto" w:sz="4" w:space="0"/>
              <w:left w:val="single" w:color="auto" w:sz="4" w:space="0"/>
              <w:bottom w:val="single" w:color="auto" w:sz="4" w:space="0"/>
              <w:right w:val="single" w:color="auto" w:sz="4" w:space="0"/>
            </w:tcBorders>
            <w:noWrap w:val="0"/>
            <w:vAlign w:val="top"/>
          </w:tcPr>
          <w:p w14:paraId="57FC3574">
            <w:pPr>
              <w:autoSpaceDE w:val="0"/>
              <w:autoSpaceDN w:val="0"/>
              <w:adjustRightInd w:val="0"/>
              <w:spacing w:line="360" w:lineRule="auto"/>
              <w:jc w:val="left"/>
              <w:rPr>
                <w:rFonts w:ascii="宋体" w:hAnsi="宋体" w:cs="黑体"/>
                <w:color w:val="auto"/>
                <w:kern w:val="0"/>
                <w:sz w:val="28"/>
                <w:szCs w:val="28"/>
                <w:highlight w:val="none"/>
              </w:rPr>
            </w:pPr>
            <w:r>
              <w:rPr>
                <w:rFonts w:hint="eastAsia" w:ascii="宋体" w:hAnsi="宋体"/>
                <w:color w:val="auto"/>
                <w:szCs w:val="21"/>
                <w:highlight w:val="none"/>
              </w:rPr>
              <w:t>递交投标文件的截止之日15日前</w:t>
            </w:r>
          </w:p>
        </w:tc>
      </w:tr>
      <w:tr w14:paraId="0C63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70E0B787">
            <w:pPr>
              <w:jc w:val="center"/>
              <w:rPr>
                <w:color w:val="auto"/>
                <w:highlight w:val="none"/>
              </w:rPr>
            </w:pPr>
            <w:r>
              <w:rPr>
                <w:color w:val="auto"/>
                <w:highlight w:val="none"/>
              </w:rPr>
              <w:t>1.11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4FD5DAA">
            <w:pPr>
              <w:jc w:val="center"/>
              <w:rPr>
                <w:color w:val="auto"/>
                <w:highlight w:val="none"/>
              </w:rPr>
            </w:pPr>
            <w:r>
              <w:rPr>
                <w:rFonts w:hint="eastAsia"/>
                <w:color w:val="auto"/>
                <w:highlight w:val="none"/>
              </w:rPr>
              <w:t>分</w:t>
            </w:r>
            <w:r>
              <w:rPr>
                <w:color w:val="auto"/>
                <w:highlight w:val="none"/>
              </w:rPr>
              <w:t xml:space="preserve">  </w:t>
            </w:r>
            <w:r>
              <w:rPr>
                <w:rFonts w:hint="eastAsia"/>
                <w:color w:val="auto"/>
                <w:highlight w:val="none"/>
              </w:rPr>
              <w:t>包</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30B83D03">
            <w:pPr>
              <w:spacing w:line="312" w:lineRule="auto"/>
              <w:rPr>
                <w:color w:val="auto"/>
                <w:szCs w:val="21"/>
                <w:highlight w:val="none"/>
              </w:rPr>
            </w:pPr>
            <w:r>
              <w:rPr>
                <w:rFonts w:hint="eastAsia"/>
                <w:color w:val="auto"/>
                <w:szCs w:val="21"/>
                <w:highlight w:val="none"/>
              </w:rPr>
              <w:t>不允许</w:t>
            </w:r>
          </w:p>
        </w:tc>
      </w:tr>
      <w:tr w14:paraId="75F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43324E79">
            <w:pPr>
              <w:jc w:val="center"/>
              <w:rPr>
                <w:color w:val="auto"/>
                <w:highlight w:val="none"/>
              </w:rPr>
            </w:pPr>
            <w:r>
              <w:rPr>
                <w:color w:val="auto"/>
                <w:highlight w:val="none"/>
              </w:rPr>
              <w:t>1.12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64B7918">
            <w:pPr>
              <w:jc w:val="center"/>
              <w:rPr>
                <w:color w:val="auto"/>
                <w:highlight w:val="none"/>
              </w:rPr>
            </w:pPr>
            <w:r>
              <w:rPr>
                <w:rFonts w:hint="eastAsia"/>
                <w:color w:val="auto"/>
                <w:highlight w:val="none"/>
              </w:rPr>
              <w:t>偏</w:t>
            </w:r>
            <w:r>
              <w:rPr>
                <w:color w:val="auto"/>
                <w:highlight w:val="none"/>
              </w:rPr>
              <w:t xml:space="preserve">  </w:t>
            </w:r>
            <w:r>
              <w:rPr>
                <w:rFonts w:hint="eastAsia"/>
                <w:color w:val="auto"/>
                <w:highlight w:val="none"/>
              </w:rPr>
              <w:t>离</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4378B5A">
            <w:pPr>
              <w:spacing w:line="288" w:lineRule="auto"/>
              <w:rPr>
                <w:color w:val="auto"/>
                <w:highlight w:val="none"/>
              </w:rPr>
            </w:pPr>
            <w:r>
              <w:rPr>
                <w:rFonts w:hint="eastAsia"/>
                <w:color w:val="auto"/>
                <w:highlight w:val="none"/>
              </w:rPr>
              <w:t>不允许</w:t>
            </w:r>
          </w:p>
        </w:tc>
      </w:tr>
      <w:tr w14:paraId="29C6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764CA92">
            <w:pPr>
              <w:jc w:val="center"/>
              <w:rPr>
                <w:color w:val="auto"/>
                <w:highlight w:val="none"/>
              </w:rPr>
            </w:pPr>
            <w:r>
              <w:rPr>
                <w:color w:val="auto"/>
                <w:highlight w:val="none"/>
              </w:rPr>
              <w:t>2.1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4968ABA">
            <w:pPr>
              <w:jc w:val="center"/>
              <w:rPr>
                <w:color w:val="auto"/>
                <w:highlight w:val="none"/>
              </w:rPr>
            </w:pPr>
            <w:r>
              <w:rPr>
                <w:rFonts w:hint="eastAsia"/>
                <w:color w:val="auto"/>
                <w:highlight w:val="none"/>
              </w:rPr>
              <w:t>构成招标文件的其他材料</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35208229">
            <w:pPr>
              <w:spacing w:line="288" w:lineRule="auto"/>
              <w:rPr>
                <w:color w:val="auto"/>
                <w:highlight w:val="none"/>
              </w:rPr>
            </w:pPr>
            <w:r>
              <w:rPr>
                <w:rFonts w:hint="eastAsia" w:ascii="宋体" w:hAnsi="宋体"/>
                <w:color w:val="auto"/>
                <w:szCs w:val="21"/>
                <w:highlight w:val="none"/>
              </w:rPr>
              <w:t>图纸、答疑、设计变更、合同及招标文件其他补充材料等。</w:t>
            </w:r>
          </w:p>
        </w:tc>
      </w:tr>
      <w:tr w14:paraId="64AB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0DA98F68">
            <w:pPr>
              <w:jc w:val="center"/>
              <w:rPr>
                <w:color w:val="auto"/>
                <w:highlight w:val="none"/>
              </w:rPr>
            </w:pPr>
            <w:r>
              <w:rPr>
                <w:color w:val="auto"/>
                <w:highlight w:val="none"/>
              </w:rPr>
              <w:t>2.2.1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0122B0D">
            <w:pPr>
              <w:jc w:val="center"/>
              <w:rPr>
                <w:color w:val="auto"/>
                <w:highlight w:val="none"/>
              </w:rPr>
            </w:pPr>
            <w:r>
              <w:rPr>
                <w:rFonts w:hint="eastAsia"/>
                <w:color w:val="auto"/>
                <w:highlight w:val="none"/>
              </w:rPr>
              <w:t>投标人要求澄清招标文件的截止时间</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01A2C76">
            <w:pPr>
              <w:spacing w:line="288" w:lineRule="auto"/>
              <w:rPr>
                <w:color w:val="auto"/>
                <w:highlight w:val="none"/>
              </w:rPr>
            </w:pPr>
            <w:r>
              <w:rPr>
                <w:rFonts w:hint="eastAsia" w:ascii="宋体" w:hAnsi="宋体"/>
                <w:color w:val="auto"/>
                <w:szCs w:val="21"/>
                <w:highlight w:val="none"/>
              </w:rPr>
              <w:t>递交投标文件的截止之日10日前</w:t>
            </w:r>
          </w:p>
        </w:tc>
      </w:tr>
      <w:tr w14:paraId="3D0C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A581AE3">
            <w:pPr>
              <w:jc w:val="center"/>
              <w:rPr>
                <w:color w:val="auto"/>
                <w:highlight w:val="none"/>
              </w:rPr>
            </w:pPr>
            <w:r>
              <w:rPr>
                <w:color w:val="auto"/>
                <w:highlight w:val="none"/>
              </w:rPr>
              <w:t>2.2.2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EB1C8CD">
            <w:pPr>
              <w:jc w:val="center"/>
              <w:rPr>
                <w:color w:val="auto"/>
                <w:highlight w:val="none"/>
              </w:rPr>
            </w:pPr>
            <w:r>
              <w:rPr>
                <w:rFonts w:hint="eastAsia"/>
                <w:color w:val="auto"/>
                <w:highlight w:val="none"/>
              </w:rPr>
              <w:t>投标截止时间及递交地点</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1EA3F2E">
            <w:pPr>
              <w:spacing w:line="288" w:lineRule="auto"/>
              <w:rPr>
                <w:rFonts w:hint="eastAsia" w:ascii="宋体" w:hAnsi="宋体"/>
                <w:color w:val="auto"/>
                <w:szCs w:val="21"/>
                <w:highlight w:val="none"/>
              </w:rPr>
            </w:pPr>
            <w:r>
              <w:rPr>
                <w:color w:val="auto"/>
                <w:szCs w:val="21"/>
                <w:highlight w:val="none"/>
              </w:rPr>
              <w:t>时间：2024</w:t>
            </w:r>
            <w:r>
              <w:rPr>
                <w:rFonts w:hint="eastAsia"/>
                <w:color w:val="auto"/>
                <w:szCs w:val="21"/>
                <w:highlight w:val="none"/>
              </w:rPr>
              <w:t>年</w:t>
            </w:r>
            <w:r>
              <w:rPr>
                <w:rFonts w:hint="eastAsia"/>
                <w:color w:val="auto"/>
                <w:szCs w:val="21"/>
                <w:highlight w:val="none"/>
                <w:lang w:val="en-US" w:eastAsia="zh-CN"/>
              </w:rPr>
              <w:t>11</w:t>
            </w:r>
            <w:r>
              <w:rPr>
                <w:rFonts w:hint="eastAsia"/>
                <w:color w:val="auto"/>
                <w:szCs w:val="21"/>
                <w:highlight w:val="none"/>
              </w:rPr>
              <w:t>月</w:t>
            </w:r>
            <w:r>
              <w:rPr>
                <w:rFonts w:hint="eastAsia"/>
                <w:color w:val="auto"/>
                <w:szCs w:val="21"/>
                <w:highlight w:val="none"/>
                <w:lang w:val="en-US" w:eastAsia="zh-CN"/>
              </w:rPr>
              <w:t>27</w:t>
            </w:r>
            <w:r>
              <w:rPr>
                <w:rFonts w:hint="eastAsia"/>
                <w:color w:val="auto"/>
                <w:szCs w:val="21"/>
                <w:highlight w:val="none"/>
              </w:rPr>
              <w:t>日</w:t>
            </w:r>
            <w:r>
              <w:rPr>
                <w:rFonts w:hint="eastAsia"/>
                <w:color w:val="auto"/>
                <w:szCs w:val="21"/>
                <w:highlight w:val="none"/>
                <w:lang w:val="en-US" w:eastAsia="zh-CN"/>
              </w:rPr>
              <w:t>8</w:t>
            </w:r>
            <w:r>
              <w:rPr>
                <w:rFonts w:hint="eastAsia"/>
                <w:color w:val="auto"/>
                <w:szCs w:val="21"/>
                <w:highlight w:val="none"/>
              </w:rPr>
              <w:t>时</w:t>
            </w:r>
            <w:r>
              <w:rPr>
                <w:rFonts w:hint="eastAsia"/>
                <w:color w:val="auto"/>
                <w:szCs w:val="21"/>
                <w:highlight w:val="none"/>
                <w:lang w:val="en-US" w:eastAsia="zh-CN"/>
              </w:rPr>
              <w:t>40</w:t>
            </w:r>
            <w:r>
              <w:rPr>
                <w:rFonts w:hint="eastAsia"/>
                <w:color w:val="auto"/>
                <w:szCs w:val="21"/>
                <w:highlight w:val="none"/>
              </w:rPr>
              <w:t>分</w:t>
            </w:r>
            <w:r>
              <w:rPr>
                <w:rFonts w:hint="eastAsia" w:ascii="宋体" w:hAnsi="宋体"/>
                <w:color w:val="auto"/>
                <w:szCs w:val="21"/>
                <w:highlight w:val="none"/>
              </w:rPr>
              <w:t>（北京时间）</w:t>
            </w:r>
          </w:p>
          <w:p w14:paraId="04C5E687">
            <w:pPr>
              <w:spacing w:line="288" w:lineRule="auto"/>
              <w:rPr>
                <w:color w:val="auto"/>
                <w:highlight w:val="none"/>
              </w:rPr>
            </w:pPr>
            <w:r>
              <w:rPr>
                <w:rFonts w:hint="eastAsia"/>
                <w:color w:val="auto"/>
                <w:szCs w:val="21"/>
                <w:highlight w:val="none"/>
              </w:rPr>
              <w:t>地点：全国公共资源交易平台（河南省•平顶山市）电子招投标系统</w:t>
            </w:r>
          </w:p>
        </w:tc>
      </w:tr>
      <w:tr w14:paraId="3063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7A0575C7">
            <w:pPr>
              <w:jc w:val="center"/>
              <w:rPr>
                <w:color w:val="auto"/>
                <w:highlight w:val="none"/>
              </w:rPr>
            </w:pPr>
            <w:r>
              <w:rPr>
                <w:color w:val="auto"/>
                <w:highlight w:val="none"/>
              </w:rPr>
              <w:t>3.1.1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FBF4F6B">
            <w:pPr>
              <w:jc w:val="center"/>
              <w:rPr>
                <w:color w:val="auto"/>
                <w:highlight w:val="none"/>
              </w:rPr>
            </w:pPr>
            <w:r>
              <w:rPr>
                <w:rFonts w:hint="eastAsia"/>
                <w:color w:val="auto"/>
                <w:highlight w:val="none"/>
              </w:rPr>
              <w:t>构成投标文件的其他材料</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5A54A909">
            <w:pPr>
              <w:spacing w:line="288" w:lineRule="auto"/>
              <w:rPr>
                <w:color w:val="auto"/>
                <w:highlight w:val="none"/>
              </w:rPr>
            </w:pPr>
            <w:r>
              <w:rPr>
                <w:rFonts w:hint="eastAsia"/>
                <w:color w:val="auto"/>
                <w:highlight w:val="none"/>
              </w:rPr>
              <w:t>招标人在招标期间发出的澄清（如有）、修改、补充、补遗和其它有效正式函件等内容均是招标文件的组成部分。</w:t>
            </w:r>
          </w:p>
        </w:tc>
      </w:tr>
      <w:tr w14:paraId="0B0C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04EFC43D">
            <w:pPr>
              <w:jc w:val="center"/>
              <w:rPr>
                <w:color w:val="auto"/>
                <w:highlight w:val="none"/>
              </w:rPr>
            </w:pPr>
            <w:r>
              <w:rPr>
                <w:color w:val="auto"/>
                <w:highlight w:val="none"/>
              </w:rPr>
              <w:t>3.3.1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A5402FB">
            <w:pPr>
              <w:jc w:val="center"/>
              <w:rPr>
                <w:color w:val="auto"/>
                <w:highlight w:val="none"/>
              </w:rPr>
            </w:pPr>
            <w:r>
              <w:rPr>
                <w:rFonts w:hint="eastAsia"/>
                <w:color w:val="auto"/>
                <w:highlight w:val="none"/>
              </w:rPr>
              <w:t>投标有效期</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59497E3">
            <w:pPr>
              <w:spacing w:line="288" w:lineRule="auto"/>
              <w:rPr>
                <w:color w:val="auto"/>
                <w:highlight w:val="none"/>
              </w:rPr>
            </w:pPr>
            <w:r>
              <w:rPr>
                <w:color w:val="auto"/>
                <w:highlight w:val="none"/>
              </w:rPr>
              <w:t>90</w:t>
            </w:r>
            <w:r>
              <w:rPr>
                <w:rFonts w:hint="eastAsia"/>
                <w:color w:val="auto"/>
                <w:highlight w:val="none"/>
              </w:rPr>
              <w:t>日历天</w:t>
            </w:r>
          </w:p>
        </w:tc>
      </w:tr>
      <w:tr w14:paraId="4685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6676AE73">
            <w:pPr>
              <w:jc w:val="center"/>
              <w:rPr>
                <w:color w:val="auto"/>
                <w:highlight w:val="none"/>
              </w:rPr>
            </w:pPr>
            <w:r>
              <w:rPr>
                <w:color w:val="auto"/>
                <w:highlight w:val="none"/>
              </w:rPr>
              <w:t>3.4.1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F6E9574">
            <w:pPr>
              <w:jc w:val="center"/>
              <w:rPr>
                <w:color w:val="auto"/>
                <w:highlight w:val="none"/>
              </w:rPr>
            </w:pPr>
            <w:r>
              <w:rPr>
                <w:rFonts w:hint="eastAsia"/>
                <w:color w:val="auto"/>
                <w:highlight w:val="none"/>
              </w:rPr>
              <w:t>投标保证金</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4308B4CD">
            <w:pPr>
              <w:spacing w:line="288" w:lineRule="auto"/>
              <w:rPr>
                <w:color w:val="auto"/>
                <w:highlight w:val="none"/>
              </w:rPr>
            </w:pPr>
            <w:r>
              <w:rPr>
                <w:rFonts w:hint="eastAsia"/>
                <w:color w:val="auto"/>
                <w:highlight w:val="none"/>
              </w:rPr>
              <w:t>保证金缴纳具体事宜规定如下：</w:t>
            </w:r>
          </w:p>
          <w:p w14:paraId="07A99E35">
            <w:pPr>
              <w:spacing w:line="288" w:lineRule="auto"/>
              <w:rPr>
                <w:color w:val="auto"/>
                <w:highlight w:val="none"/>
              </w:rPr>
            </w:pPr>
            <w:r>
              <w:rPr>
                <w:color w:val="auto"/>
                <w:highlight w:val="none"/>
              </w:rPr>
              <w:t>1</w:t>
            </w:r>
            <w:r>
              <w:rPr>
                <w:rFonts w:hint="eastAsia"/>
                <w:color w:val="auto"/>
                <w:highlight w:val="none"/>
              </w:rPr>
              <w:t>、投标保证金数额：</w:t>
            </w:r>
          </w:p>
          <w:p w14:paraId="396DEDB1">
            <w:pPr>
              <w:spacing w:line="288" w:lineRule="auto"/>
              <w:rPr>
                <w:color w:val="auto"/>
                <w:highlight w:val="none"/>
              </w:rPr>
            </w:pPr>
            <w:r>
              <w:rPr>
                <w:rFonts w:hint="eastAsia"/>
                <w:color w:val="auto"/>
                <w:highlight w:val="none"/>
              </w:rPr>
              <w:t>大写：</w:t>
            </w:r>
            <w:r>
              <w:rPr>
                <w:rFonts w:hint="eastAsia"/>
                <w:color w:val="auto"/>
                <w:highlight w:val="none"/>
                <w:lang w:val="en-US" w:eastAsia="zh-CN"/>
              </w:rPr>
              <w:t xml:space="preserve">伍万元  </w:t>
            </w:r>
            <w:r>
              <w:rPr>
                <w:color w:val="auto"/>
                <w:highlight w:val="none"/>
              </w:rPr>
              <w:t> </w:t>
            </w:r>
            <w:r>
              <w:rPr>
                <w:rFonts w:hint="eastAsia"/>
                <w:color w:val="auto"/>
                <w:highlight w:val="none"/>
              </w:rPr>
              <w:t>小写：</w:t>
            </w:r>
            <w:r>
              <w:rPr>
                <w:rFonts w:hint="eastAsia"/>
                <w:color w:val="auto"/>
                <w:highlight w:val="none"/>
                <w:lang w:val="en-US" w:eastAsia="zh-CN"/>
              </w:rPr>
              <w:t>50000.00</w:t>
            </w:r>
            <w:r>
              <w:rPr>
                <w:rFonts w:hint="eastAsia"/>
                <w:color w:val="auto"/>
                <w:highlight w:val="none"/>
              </w:rPr>
              <w:t>元；</w:t>
            </w:r>
          </w:p>
          <w:p w14:paraId="5AED37F2">
            <w:pPr>
              <w:spacing w:line="288" w:lineRule="auto"/>
              <w:rPr>
                <w:color w:val="auto"/>
                <w:highlight w:val="none"/>
              </w:rPr>
            </w:pPr>
            <w:r>
              <w:rPr>
                <w:color w:val="auto"/>
                <w:highlight w:val="none"/>
              </w:rPr>
              <w:t>2</w:t>
            </w:r>
            <w:r>
              <w:rPr>
                <w:rFonts w:hint="eastAsia"/>
                <w:color w:val="auto"/>
                <w:highlight w:val="none"/>
              </w:rPr>
              <w:t>、保证金递交的截止时间：</w:t>
            </w:r>
            <w:r>
              <w:rPr>
                <w:rFonts w:hint="eastAsia"/>
                <w:color w:val="auto"/>
                <w:highlight w:val="none"/>
                <w:lang w:val="en-US" w:eastAsia="zh-CN"/>
              </w:rPr>
              <w:t>投标截止时间前一日23:59分前</w:t>
            </w:r>
            <w:r>
              <w:rPr>
                <w:rFonts w:hint="eastAsia"/>
                <w:color w:val="auto"/>
                <w:highlight w:val="none"/>
              </w:rPr>
              <w:t>；</w:t>
            </w:r>
          </w:p>
          <w:p w14:paraId="530E6F5A">
            <w:pPr>
              <w:spacing w:line="288" w:lineRule="auto"/>
              <w:rPr>
                <w:color w:val="auto"/>
                <w:highlight w:val="none"/>
              </w:rPr>
            </w:pPr>
            <w:r>
              <w:rPr>
                <w:color w:val="auto"/>
                <w:highlight w:val="none"/>
              </w:rPr>
              <w:t>3</w:t>
            </w:r>
            <w:r>
              <w:rPr>
                <w:rFonts w:hint="eastAsia"/>
                <w:color w:val="auto"/>
                <w:highlight w:val="none"/>
              </w:rPr>
              <w:t>、投标人打开</w:t>
            </w:r>
            <w:r>
              <w:rPr>
                <w:color w:val="auto"/>
                <w:highlight w:val="none"/>
              </w:rPr>
              <w:t>http://221.176.192.166:8080/ggzy  </w:t>
            </w:r>
            <w:r>
              <w:rPr>
                <w:rFonts w:hint="eastAsia"/>
                <w:color w:val="auto"/>
                <w:highlight w:val="none"/>
              </w:rPr>
              <w:t>登录电子交易系统，对应已参与投标项目依次点击“参与投标”→“费用缴纳指南”→“费用缴纳说明”→“保证金缴纳说明单”，获取平顶山银行虚拟子账户缴纳说明单，根据每个标段缴纳说明单生成的银行账户在缴纳截止时间前缴纳；</w:t>
            </w:r>
          </w:p>
          <w:p w14:paraId="3A37B5CF">
            <w:pPr>
              <w:spacing w:line="288" w:lineRule="auto"/>
              <w:rPr>
                <w:color w:val="auto"/>
                <w:highlight w:val="none"/>
              </w:rPr>
            </w:pPr>
            <w:r>
              <w:rPr>
                <w:color w:val="auto"/>
                <w:highlight w:val="none"/>
              </w:rPr>
              <w:t>4</w:t>
            </w:r>
            <w:r>
              <w:rPr>
                <w:rFonts w:hint="eastAsia"/>
                <w:color w:val="auto"/>
                <w:highlight w:val="none"/>
              </w:rPr>
              <w:t>、成功缴纳后重新登录前述系统查询确定费用到账，依次点击“参与投标”→“保证金绑定”→“绑定”进行投标保证金绑定。</w:t>
            </w:r>
          </w:p>
          <w:p w14:paraId="19CD9549">
            <w:pPr>
              <w:spacing w:line="288" w:lineRule="auto"/>
              <w:rPr>
                <w:color w:val="auto"/>
                <w:highlight w:val="none"/>
              </w:rPr>
            </w:pPr>
            <w:r>
              <w:rPr>
                <w:color w:val="auto"/>
                <w:highlight w:val="none"/>
              </w:rPr>
              <w:t>5</w:t>
            </w:r>
            <w:r>
              <w:rPr>
                <w:rFonts w:hint="eastAsia"/>
                <w:color w:val="auto"/>
                <w:highlight w:val="none"/>
              </w:rPr>
              <w:t>、投标人要严格按照“保证金缴纳说明单”内容缴纳、成功绑定投标保证金，未绑定标段的投标保证金，视为未按时交纳。</w:t>
            </w:r>
          </w:p>
          <w:p w14:paraId="125A9BDE">
            <w:pPr>
              <w:spacing w:line="288" w:lineRule="auto"/>
              <w:rPr>
                <w:color w:val="auto"/>
                <w:highlight w:val="none"/>
              </w:rPr>
            </w:pPr>
            <w:r>
              <w:rPr>
                <w:color w:val="auto"/>
                <w:highlight w:val="none"/>
              </w:rPr>
              <w:t>6</w:t>
            </w:r>
            <w:r>
              <w:rPr>
                <w:rFonts w:hint="eastAsia"/>
                <w:color w:val="auto"/>
                <w:highlight w:val="none"/>
              </w:rPr>
              <w:t>、每个投标人每个项目每个标段只有唯一缴纳账号，切勿重复缴纳或错误缴纳。</w:t>
            </w:r>
          </w:p>
          <w:p w14:paraId="444A48C1">
            <w:pPr>
              <w:spacing w:line="288" w:lineRule="auto"/>
              <w:rPr>
                <w:color w:val="auto"/>
                <w:highlight w:val="none"/>
              </w:rPr>
            </w:pPr>
            <w:r>
              <w:rPr>
                <w:color w:val="auto"/>
                <w:highlight w:val="none"/>
              </w:rPr>
              <w:t>7</w:t>
            </w:r>
            <w:r>
              <w:rPr>
                <w:rFonts w:hint="eastAsia"/>
                <w:color w:val="auto"/>
                <w:highlight w:val="none"/>
              </w:rPr>
              <w:t>、未按上述规定操作引起的无效投标，由投标人自行负责。</w:t>
            </w:r>
          </w:p>
          <w:p w14:paraId="7D959845">
            <w:pPr>
              <w:spacing w:line="288" w:lineRule="auto"/>
              <w:rPr>
                <w:color w:val="auto"/>
                <w:highlight w:val="none"/>
              </w:rPr>
            </w:pPr>
            <w:r>
              <w:rPr>
                <w:rFonts w:hint="eastAsia"/>
                <w:color w:val="auto"/>
                <w:highlight w:val="none"/>
              </w:rPr>
              <w:t>其他事项：</w:t>
            </w:r>
          </w:p>
          <w:p w14:paraId="4B1C0B68">
            <w:pPr>
              <w:spacing w:line="288" w:lineRule="auto"/>
              <w:rPr>
                <w:color w:val="auto"/>
                <w:highlight w:val="none"/>
              </w:rPr>
            </w:pPr>
            <w:r>
              <w:rPr>
                <w:color w:val="auto"/>
                <w:highlight w:val="none"/>
              </w:rPr>
              <w:t>1</w:t>
            </w:r>
            <w:r>
              <w:rPr>
                <w:rFonts w:hint="eastAsia"/>
                <w:color w:val="auto"/>
                <w:highlight w:val="none"/>
              </w:rPr>
              <w:t>、投标人应仔细阅读操作手册，在本公告中要求的截止时间前完成网上报名、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14:paraId="0F67BEF8">
            <w:pPr>
              <w:spacing w:line="288" w:lineRule="auto"/>
              <w:rPr>
                <w:color w:val="auto"/>
                <w:highlight w:val="none"/>
              </w:rPr>
            </w:pPr>
            <w:r>
              <w:rPr>
                <w:color w:val="auto"/>
                <w:highlight w:val="none"/>
              </w:rPr>
              <w:t>2</w:t>
            </w:r>
            <w:r>
              <w:rPr>
                <w:rFonts w:hint="eastAsia"/>
                <w:color w:val="auto"/>
                <w:highlight w:val="none"/>
              </w:rPr>
              <w:t>、投标人少交保证金属无效缴纳。</w:t>
            </w:r>
          </w:p>
          <w:p w14:paraId="0C6C668D">
            <w:pPr>
              <w:spacing w:line="288" w:lineRule="auto"/>
              <w:rPr>
                <w:color w:val="auto"/>
                <w:highlight w:val="none"/>
              </w:rPr>
            </w:pPr>
            <w:r>
              <w:rPr>
                <w:color w:val="auto"/>
                <w:highlight w:val="none"/>
              </w:rPr>
              <w:t>3</w:t>
            </w:r>
            <w:r>
              <w:rPr>
                <w:rFonts w:hint="eastAsia"/>
                <w:color w:val="auto"/>
                <w:highlight w:val="none"/>
              </w:rPr>
              <w:t>、规定投标保证金到账截止时间为开标前一日</w:t>
            </w:r>
            <w:r>
              <w:rPr>
                <w:color w:val="auto"/>
                <w:highlight w:val="none"/>
              </w:rPr>
              <w:t>24</w:t>
            </w:r>
            <w:r>
              <w:rPr>
                <w:rFonts w:hint="eastAsia"/>
                <w:color w:val="auto"/>
                <w:highlight w:val="none"/>
              </w:rPr>
              <w:t>点，节假日除外（超时到账视为未交保证金，取消报名资格）。</w:t>
            </w:r>
          </w:p>
          <w:p w14:paraId="2C3238C6">
            <w:pPr>
              <w:spacing w:line="288" w:lineRule="auto"/>
              <w:rPr>
                <w:color w:val="auto"/>
                <w:highlight w:val="none"/>
              </w:rPr>
            </w:pPr>
            <w:r>
              <w:rPr>
                <w:color w:val="auto"/>
                <w:highlight w:val="none"/>
              </w:rPr>
              <w:t>4</w:t>
            </w:r>
            <w:r>
              <w:rPr>
                <w:rFonts w:hint="eastAsia"/>
                <w:color w:val="auto"/>
                <w:highlight w:val="none"/>
              </w:rPr>
              <w:t>、废标项目重新招标时，必须按修改后的招标文件重新缴纳保证金，原缴纳保证金及时退还。</w:t>
            </w:r>
          </w:p>
          <w:p w14:paraId="1822D61E">
            <w:pPr>
              <w:spacing w:line="288" w:lineRule="auto"/>
              <w:rPr>
                <w:color w:val="auto"/>
                <w:kern w:val="0"/>
                <w:szCs w:val="21"/>
                <w:highlight w:val="none"/>
                <w:u w:val="single"/>
              </w:rPr>
            </w:pPr>
            <w:r>
              <w:rPr>
                <w:color w:val="auto"/>
                <w:highlight w:val="none"/>
              </w:rPr>
              <w:t>5</w:t>
            </w:r>
            <w:r>
              <w:rPr>
                <w:rFonts w:hint="eastAsia"/>
                <w:color w:val="auto"/>
                <w:highlight w:val="none"/>
              </w:rPr>
              <w:t>、本项目支持以保函形式缴纳保证金，具体详见平顶山市公共资源交易平台《平顶山市公共资源交易中心关于招投标业务启用电子保函事宜的通知》。</w:t>
            </w:r>
          </w:p>
        </w:tc>
      </w:tr>
      <w:tr w14:paraId="36EB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71C14516">
            <w:pPr>
              <w:jc w:val="center"/>
              <w:rPr>
                <w:color w:val="auto"/>
                <w:highlight w:val="none"/>
              </w:rPr>
            </w:pPr>
            <w:r>
              <w:rPr>
                <w:color w:val="auto"/>
                <w:highlight w:val="none"/>
              </w:rPr>
              <w:t>3.5.2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4D07DB1">
            <w:pPr>
              <w:jc w:val="center"/>
              <w:rPr>
                <w:color w:val="auto"/>
                <w:highlight w:val="none"/>
              </w:rPr>
            </w:pPr>
            <w:r>
              <w:rPr>
                <w:rFonts w:hint="eastAsia"/>
                <w:color w:val="auto"/>
                <w:highlight w:val="none"/>
              </w:rPr>
              <w:t>近年财务状况的年份要求</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5A855BEE">
            <w:pPr>
              <w:spacing w:line="400" w:lineRule="exact"/>
              <w:rPr>
                <w:color w:val="auto"/>
                <w:sz w:val="30"/>
                <w:szCs w:val="30"/>
                <w:highlight w:val="none"/>
              </w:rPr>
            </w:pPr>
            <w:r>
              <w:rPr>
                <w:rFonts w:hint="eastAsia"/>
                <w:color w:val="auto"/>
                <w:szCs w:val="21"/>
                <w:highlight w:val="none"/>
              </w:rPr>
              <w:t>/</w:t>
            </w:r>
          </w:p>
        </w:tc>
      </w:tr>
      <w:tr w14:paraId="49D0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174B34FD">
            <w:pPr>
              <w:jc w:val="center"/>
              <w:rPr>
                <w:color w:val="auto"/>
                <w:highlight w:val="none"/>
              </w:rPr>
            </w:pPr>
            <w:r>
              <w:rPr>
                <w:color w:val="auto"/>
                <w:highlight w:val="none"/>
              </w:rPr>
              <w:t>3.5.3</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8896340">
            <w:pPr>
              <w:jc w:val="center"/>
              <w:rPr>
                <w:color w:val="auto"/>
                <w:highlight w:val="none"/>
              </w:rPr>
            </w:pPr>
            <w:r>
              <w:rPr>
                <w:rFonts w:hint="eastAsia"/>
                <w:bCs/>
                <w:color w:val="auto"/>
                <w:highlight w:val="none"/>
              </w:rPr>
              <w:t>近年类似项目的年份要求</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CF5BE53">
            <w:pPr>
              <w:spacing w:line="400" w:lineRule="exact"/>
              <w:rPr>
                <w:rFonts w:ascii="宋体" w:hAnsi="宋体"/>
                <w:color w:val="auto"/>
                <w:szCs w:val="21"/>
                <w:highlight w:val="none"/>
              </w:rPr>
            </w:pPr>
            <w:r>
              <w:rPr>
                <w:rFonts w:hint="eastAsia"/>
                <w:color w:val="auto"/>
                <w:highlight w:val="none"/>
              </w:rPr>
              <w:t>/</w:t>
            </w:r>
          </w:p>
        </w:tc>
      </w:tr>
      <w:tr w14:paraId="1593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1D06F36">
            <w:pPr>
              <w:jc w:val="center"/>
              <w:rPr>
                <w:color w:val="auto"/>
                <w:highlight w:val="none"/>
              </w:rPr>
            </w:pPr>
            <w:r>
              <w:rPr>
                <w:color w:val="auto"/>
                <w:highlight w:val="none"/>
              </w:rPr>
              <w:t>3.6</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39B554F">
            <w:pPr>
              <w:jc w:val="center"/>
              <w:rPr>
                <w:color w:val="auto"/>
                <w:highlight w:val="none"/>
              </w:rPr>
            </w:pPr>
            <w:r>
              <w:rPr>
                <w:rFonts w:hint="eastAsia"/>
                <w:color w:val="auto"/>
                <w:highlight w:val="none"/>
              </w:rPr>
              <w:t>是否允许递交备选</w:t>
            </w:r>
          </w:p>
          <w:p w14:paraId="6BF885B1">
            <w:pPr>
              <w:jc w:val="center"/>
              <w:rPr>
                <w:color w:val="auto"/>
                <w:highlight w:val="none"/>
              </w:rPr>
            </w:pPr>
            <w:r>
              <w:rPr>
                <w:rFonts w:hint="eastAsia"/>
                <w:color w:val="auto"/>
                <w:highlight w:val="none"/>
              </w:rPr>
              <w:t>投标方案</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12EBAAE6">
            <w:pPr>
              <w:spacing w:line="288" w:lineRule="auto"/>
              <w:rPr>
                <w:color w:val="auto"/>
                <w:highlight w:val="none"/>
              </w:rPr>
            </w:pPr>
            <w:r>
              <w:rPr>
                <w:rFonts w:hint="eastAsia"/>
                <w:color w:val="auto"/>
                <w:highlight w:val="none"/>
              </w:rPr>
              <w:t>不允许</w:t>
            </w:r>
          </w:p>
        </w:tc>
      </w:tr>
      <w:tr w14:paraId="39E8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534ED5A">
            <w:pPr>
              <w:jc w:val="center"/>
              <w:rPr>
                <w:color w:val="auto"/>
                <w:highlight w:val="none"/>
              </w:rPr>
            </w:pPr>
            <w:r>
              <w:rPr>
                <w:color w:val="auto"/>
                <w:highlight w:val="none"/>
              </w:rPr>
              <w:t>3.7.3</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8A1F172">
            <w:pPr>
              <w:autoSpaceDE w:val="0"/>
              <w:autoSpaceDN w:val="0"/>
              <w:adjustRightInd w:val="0"/>
              <w:spacing w:before="73"/>
              <w:ind w:left="115" w:leftChars="55" w:right="141"/>
              <w:jc w:val="center"/>
              <w:rPr>
                <w:rFonts w:ascii="宋体" w:hAnsi="宋体"/>
                <w:color w:val="auto"/>
                <w:kern w:val="0"/>
                <w:szCs w:val="21"/>
                <w:highlight w:val="none"/>
              </w:rPr>
            </w:pPr>
            <w:r>
              <w:rPr>
                <w:rFonts w:hint="eastAsia" w:ascii="宋体" w:hAnsi="宋体" w:cs="MingLiU"/>
                <w:color w:val="auto"/>
                <w:kern w:val="0"/>
                <w:szCs w:val="21"/>
                <w:highlight w:val="none"/>
              </w:rPr>
              <w:t>签字和（或）盖章要求</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4EC36225">
            <w:pPr>
              <w:spacing w:line="288" w:lineRule="auto"/>
              <w:rPr>
                <w:color w:val="auto"/>
                <w:highlight w:val="none"/>
              </w:rPr>
            </w:pPr>
            <w:r>
              <w:rPr>
                <w:color w:val="auto"/>
                <w:highlight w:val="none"/>
              </w:rPr>
              <w:t>1</w:t>
            </w:r>
            <w:r>
              <w:rPr>
                <w:rFonts w:hint="eastAsia"/>
                <w:color w:val="auto"/>
                <w:highlight w:val="none"/>
              </w:rPr>
              <w:t>、投标人在生成电子化投标文件后，应对电子化投标文件进行签章，未进行签章的视为无效投标。</w:t>
            </w:r>
            <w:r>
              <w:rPr>
                <w:color w:val="auto"/>
                <w:highlight w:val="none"/>
              </w:rPr>
              <w:t xml:space="preserve"> </w:t>
            </w:r>
          </w:p>
          <w:p w14:paraId="1AFE00F5">
            <w:pPr>
              <w:spacing w:line="288" w:lineRule="auto"/>
              <w:rPr>
                <w:color w:val="auto"/>
                <w:highlight w:val="none"/>
              </w:rPr>
            </w:pPr>
            <w:r>
              <w:rPr>
                <w:color w:val="auto"/>
                <w:highlight w:val="none"/>
              </w:rPr>
              <w:t>2</w:t>
            </w:r>
            <w:r>
              <w:rPr>
                <w:rFonts w:hint="eastAsia"/>
                <w:color w:val="auto"/>
                <w:highlight w:val="none"/>
              </w:rPr>
              <w:t>、招标文件中要求法定代表人或授权委托人签字或盖章的，投标人在进行电子化投标文件签章时，以签盖法定代表人签章为准。电子化投标文件具体制作教材请投标人通过</w:t>
            </w:r>
            <w:r>
              <w:rPr>
                <w:color w:val="auto"/>
                <w:highlight w:val="none"/>
              </w:rPr>
              <w:t>CA</w:t>
            </w:r>
            <w:r>
              <w:rPr>
                <w:rFonts w:hint="eastAsia"/>
                <w:color w:val="auto"/>
                <w:highlight w:val="none"/>
              </w:rPr>
              <w:t>证书登录平顶山市公共资源电子化交易系统在右上角“组建下载”中查看。</w:t>
            </w:r>
          </w:p>
        </w:tc>
      </w:tr>
      <w:tr w14:paraId="3047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E42BA7E">
            <w:pPr>
              <w:jc w:val="center"/>
              <w:rPr>
                <w:color w:val="auto"/>
                <w:highlight w:val="none"/>
              </w:rPr>
            </w:pPr>
            <w:r>
              <w:rPr>
                <w:color w:val="auto"/>
                <w:highlight w:val="none"/>
              </w:rPr>
              <w:t>5.1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35DEE9B">
            <w:pPr>
              <w:jc w:val="center"/>
              <w:rPr>
                <w:color w:val="auto"/>
                <w:highlight w:val="none"/>
              </w:rPr>
            </w:pPr>
            <w:r>
              <w:rPr>
                <w:rFonts w:hint="eastAsia"/>
                <w:color w:val="auto"/>
                <w:highlight w:val="none"/>
              </w:rPr>
              <w:t>开标时间和地点</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2F63F242">
            <w:pPr>
              <w:spacing w:line="288" w:lineRule="auto"/>
              <w:rPr>
                <w:color w:val="auto"/>
                <w:highlight w:val="none"/>
              </w:rPr>
            </w:pPr>
            <w:r>
              <w:rPr>
                <w:rFonts w:hint="eastAsia"/>
                <w:color w:val="auto"/>
                <w:highlight w:val="none"/>
              </w:rPr>
              <w:t>开标时间：同投标截止时间</w:t>
            </w:r>
          </w:p>
          <w:p w14:paraId="0CCA36F7">
            <w:pPr>
              <w:spacing w:line="288" w:lineRule="auto"/>
              <w:rPr>
                <w:color w:val="auto"/>
                <w:highlight w:val="none"/>
              </w:rPr>
            </w:pPr>
            <w:r>
              <w:rPr>
                <w:rFonts w:hint="eastAsia"/>
                <w:color w:val="auto"/>
                <w:highlight w:val="none"/>
              </w:rPr>
              <w:t>开标地点：</w:t>
            </w:r>
            <w:r>
              <w:rPr>
                <w:rFonts w:hint="eastAsia"/>
                <w:color w:val="auto"/>
                <w:szCs w:val="21"/>
                <w:highlight w:val="none"/>
              </w:rPr>
              <w:t>全国公共资源交易平台（河南省•平顶山市）电子招投标系统</w:t>
            </w:r>
          </w:p>
        </w:tc>
      </w:tr>
      <w:tr w14:paraId="49C4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8991CEC">
            <w:pPr>
              <w:jc w:val="center"/>
              <w:rPr>
                <w:color w:val="auto"/>
                <w:highlight w:val="none"/>
              </w:rPr>
            </w:pPr>
            <w:r>
              <w:rPr>
                <w:color w:val="auto"/>
                <w:highlight w:val="none"/>
              </w:rPr>
              <w:t>5.2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AC021D1">
            <w:pPr>
              <w:jc w:val="center"/>
              <w:rPr>
                <w:color w:val="auto"/>
                <w:highlight w:val="none"/>
              </w:rPr>
            </w:pPr>
            <w:r>
              <w:rPr>
                <w:rFonts w:hint="eastAsia"/>
                <w:color w:val="auto"/>
                <w:highlight w:val="none"/>
              </w:rPr>
              <w:t>开标程序</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0EB1CEE1">
            <w:pPr>
              <w:rPr>
                <w:color w:val="auto"/>
                <w:highlight w:val="none"/>
              </w:rPr>
            </w:pPr>
            <w:r>
              <w:rPr>
                <w:rFonts w:hint="eastAsia"/>
                <w:color w:val="auto"/>
                <w:highlight w:val="none"/>
              </w:rPr>
              <w:t>投标人采用网上远程异地解密时，请用</w:t>
            </w:r>
            <w:r>
              <w:rPr>
                <w:color w:val="auto"/>
                <w:highlight w:val="none"/>
              </w:rPr>
              <w:t>CA</w:t>
            </w:r>
            <w:r>
              <w:rPr>
                <w:rFonts w:hint="eastAsia"/>
                <w:color w:val="auto"/>
                <w:highlight w:val="none"/>
              </w:rPr>
              <w:t>证书登录全国公共资源交易平台（河南省•平顶山市）业务系统，进入本项目开标大厅点击解密来完成投标文件的解密工作。每位投标人的解密时间从开标时间起</w:t>
            </w:r>
            <w:r>
              <w:rPr>
                <w:color w:val="auto"/>
                <w:highlight w:val="none"/>
              </w:rPr>
              <w:t>60</w:t>
            </w:r>
            <w:r>
              <w:rPr>
                <w:rFonts w:hint="eastAsia"/>
                <w:color w:val="auto"/>
                <w:highlight w:val="none"/>
              </w:rPr>
              <w:t>分钟内完成，超过规定时间解密的投标文件不予接收。</w:t>
            </w:r>
          </w:p>
          <w:p w14:paraId="30F9A3D5">
            <w:pPr>
              <w:rPr>
                <w:color w:val="auto"/>
                <w:highlight w:val="none"/>
              </w:rPr>
            </w:pPr>
            <w:r>
              <w:rPr>
                <w:rFonts w:hint="eastAsia"/>
                <w:color w:val="auto"/>
                <w:highlight w:val="none"/>
              </w:rPr>
              <w:t>所有投标文件解密完成后，由招标人（代理机构）操作，对开标结果进行公示。</w:t>
            </w:r>
          </w:p>
        </w:tc>
      </w:tr>
      <w:tr w14:paraId="631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7ADE5C84">
            <w:pPr>
              <w:autoSpaceDE w:val="0"/>
              <w:autoSpaceDN w:val="0"/>
              <w:adjustRightInd w:val="0"/>
              <w:ind w:right="57"/>
              <w:rPr>
                <w:rFonts w:ascii="宋体" w:hAnsi="宋体" w:cs="MingLiU"/>
                <w:color w:val="auto"/>
                <w:kern w:val="0"/>
                <w:szCs w:val="21"/>
                <w:highlight w:val="none"/>
              </w:rPr>
            </w:pPr>
            <w:r>
              <w:rPr>
                <w:rFonts w:hint="eastAsia" w:ascii="宋体" w:hAnsi="宋体" w:cs="MingLiU"/>
                <w:color w:val="auto"/>
                <w:kern w:val="0"/>
                <w:szCs w:val="21"/>
                <w:highlight w:val="none"/>
              </w:rPr>
              <w:t>6.1.1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BA51A6C">
            <w:pPr>
              <w:autoSpaceDE w:val="0"/>
              <w:autoSpaceDN w:val="0"/>
              <w:adjustRightInd w:val="0"/>
              <w:ind w:right="57"/>
              <w:jc w:val="center"/>
              <w:rPr>
                <w:rFonts w:ascii="宋体" w:hAnsi="宋体" w:cs="MingLiU"/>
                <w:color w:val="auto"/>
                <w:kern w:val="0"/>
                <w:szCs w:val="21"/>
                <w:highlight w:val="none"/>
              </w:rPr>
            </w:pPr>
            <w:r>
              <w:rPr>
                <w:rFonts w:hint="eastAsia" w:ascii="宋体" w:hAnsi="宋体" w:cs="MingLiU"/>
                <w:color w:val="auto"/>
                <w:kern w:val="0"/>
                <w:szCs w:val="21"/>
                <w:highlight w:val="none"/>
              </w:rPr>
              <w:t>评标委员会的组建</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8E19154">
            <w:pPr>
              <w:rPr>
                <w:color w:val="auto"/>
                <w:highlight w:val="none"/>
              </w:rPr>
            </w:pPr>
            <w:r>
              <w:rPr>
                <w:rFonts w:hint="eastAsia"/>
                <w:color w:val="auto"/>
                <w:highlight w:val="none"/>
              </w:rPr>
              <w:t>评标委员会构成：5人及以上单数。经济、技术类专家人数不得少于总人数的2/3。</w:t>
            </w:r>
          </w:p>
          <w:p w14:paraId="322C383A">
            <w:pPr>
              <w:rPr>
                <w:color w:val="auto"/>
                <w:highlight w:val="none"/>
              </w:rPr>
            </w:pPr>
            <w:r>
              <w:rPr>
                <w:rFonts w:hint="eastAsia"/>
                <w:color w:val="auto"/>
                <w:highlight w:val="none"/>
              </w:rPr>
              <w:t>评标专家确定方式：在河南省综合评标专家库中随机抽取，其中经济、技术类专家人数不得低于评标委员会总人数的</w:t>
            </w:r>
            <w:r>
              <w:rPr>
                <w:color w:val="auto"/>
                <w:highlight w:val="none"/>
              </w:rPr>
              <w:t>2/3</w:t>
            </w:r>
            <w:r>
              <w:rPr>
                <w:rFonts w:hint="eastAsia"/>
                <w:color w:val="auto"/>
                <w:highlight w:val="none"/>
              </w:rPr>
              <w:t>。</w:t>
            </w:r>
          </w:p>
          <w:p w14:paraId="09B6173F">
            <w:pPr>
              <w:rPr>
                <w:color w:val="auto"/>
                <w:highlight w:val="none"/>
              </w:rPr>
            </w:pPr>
            <w:r>
              <w:rPr>
                <w:rFonts w:hint="eastAsia"/>
                <w:color w:val="auto"/>
                <w:highlight w:val="none"/>
              </w:rPr>
              <w:t>上述规定为一组评标专家委员会组成方式，根据项目标段数量和评标工作量，可由多组专家委员会完成评审，但一个标段只能由一组评标专家委员会评审。</w:t>
            </w:r>
          </w:p>
        </w:tc>
      </w:tr>
      <w:tr w14:paraId="281C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F401350">
            <w:pPr>
              <w:jc w:val="center"/>
              <w:rPr>
                <w:color w:val="auto"/>
                <w:highlight w:val="none"/>
              </w:rPr>
            </w:pPr>
            <w:r>
              <w:rPr>
                <w:color w:val="auto"/>
                <w:highlight w:val="none"/>
              </w:rPr>
              <w:t>7.1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C2261AF">
            <w:pPr>
              <w:jc w:val="center"/>
              <w:rPr>
                <w:rFonts w:hint="eastAsia"/>
                <w:color w:val="auto"/>
                <w:highlight w:val="none"/>
              </w:rPr>
            </w:pPr>
            <w:r>
              <w:rPr>
                <w:rFonts w:hint="eastAsia"/>
                <w:color w:val="auto"/>
                <w:highlight w:val="none"/>
              </w:rPr>
              <w:t>是否授权评标委员会</w:t>
            </w:r>
          </w:p>
          <w:p w14:paraId="6F49720D">
            <w:pPr>
              <w:jc w:val="center"/>
              <w:rPr>
                <w:color w:val="auto"/>
                <w:highlight w:val="none"/>
              </w:rPr>
            </w:pPr>
            <w:r>
              <w:rPr>
                <w:rFonts w:hint="eastAsia"/>
                <w:color w:val="auto"/>
                <w:highlight w:val="none"/>
              </w:rPr>
              <w:t>确定中标人</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366BD0CF">
            <w:pPr>
              <w:spacing w:line="288" w:lineRule="auto"/>
              <w:rPr>
                <w:color w:val="auto"/>
                <w:highlight w:val="none"/>
              </w:rPr>
            </w:pPr>
            <w:r>
              <w:rPr>
                <w:rFonts w:hint="eastAsia"/>
                <w:color w:val="auto"/>
                <w:highlight w:val="none"/>
              </w:rPr>
              <w:t>否，推荐的中标候选人数：</w:t>
            </w:r>
            <w:r>
              <w:rPr>
                <w:color w:val="auto"/>
                <w:highlight w:val="none"/>
                <w:u w:val="single"/>
              </w:rPr>
              <w:t xml:space="preserve">  3</w:t>
            </w:r>
            <w:r>
              <w:rPr>
                <w:rFonts w:hint="eastAsia"/>
                <w:color w:val="auto"/>
                <w:highlight w:val="none"/>
                <w:u w:val="single"/>
              </w:rPr>
              <w:t>名</w:t>
            </w:r>
            <w:r>
              <w:rPr>
                <w:color w:val="auto"/>
                <w:highlight w:val="none"/>
                <w:u w:val="single"/>
              </w:rPr>
              <w:t xml:space="preserve"> </w:t>
            </w:r>
          </w:p>
        </w:tc>
      </w:tr>
      <w:tr w14:paraId="6243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15C5A2B7">
            <w:pPr>
              <w:jc w:val="center"/>
              <w:rPr>
                <w:color w:val="auto"/>
                <w:highlight w:val="none"/>
              </w:rPr>
            </w:pPr>
            <w:r>
              <w:rPr>
                <w:color w:val="auto"/>
                <w:highlight w:val="none"/>
              </w:rPr>
              <w:t>7.3.1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4757E91">
            <w:pPr>
              <w:jc w:val="center"/>
              <w:rPr>
                <w:color w:val="auto"/>
                <w:highlight w:val="none"/>
              </w:rPr>
            </w:pPr>
            <w:r>
              <w:rPr>
                <w:rFonts w:hint="eastAsia"/>
                <w:color w:val="auto"/>
                <w:highlight w:val="none"/>
              </w:rPr>
              <w:t>履约担保</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1232208D">
            <w:pPr>
              <w:rPr>
                <w:color w:val="auto"/>
                <w:highlight w:val="none"/>
              </w:rPr>
            </w:pPr>
            <w:r>
              <w:rPr>
                <w:rFonts w:hint="eastAsia"/>
                <w:color w:val="auto"/>
                <w:highlight w:val="none"/>
              </w:rPr>
              <w:t>履约担保的形式：保函</w:t>
            </w:r>
          </w:p>
          <w:p w14:paraId="49F359A4">
            <w:pPr>
              <w:rPr>
                <w:rFonts w:hint="eastAsia" w:eastAsia="宋体"/>
                <w:color w:val="auto"/>
                <w:highlight w:val="none"/>
                <w:lang w:val="en-US" w:eastAsia="zh-CN"/>
              </w:rPr>
            </w:pPr>
            <w:r>
              <w:rPr>
                <w:rFonts w:hint="eastAsia"/>
                <w:color w:val="auto"/>
                <w:highlight w:val="none"/>
              </w:rPr>
              <w:t>履约担保的金额：中标价的</w:t>
            </w:r>
            <w:r>
              <w:rPr>
                <w:color w:val="auto"/>
                <w:highlight w:val="none"/>
              </w:rPr>
              <w:t>10%</w:t>
            </w:r>
          </w:p>
        </w:tc>
      </w:tr>
      <w:tr w14:paraId="2ABC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64C95CEB">
            <w:pPr>
              <w:spacing w:line="312" w:lineRule="auto"/>
              <w:rPr>
                <w:rFonts w:ascii="黑体" w:eastAsia="黑体"/>
                <w:color w:val="auto"/>
                <w:sz w:val="24"/>
                <w:highlight w:val="none"/>
              </w:rPr>
            </w:pPr>
            <w:r>
              <w:rPr>
                <w:rFonts w:hint="eastAsia" w:ascii="黑体" w:eastAsia="黑体"/>
                <w:color w:val="auto"/>
                <w:sz w:val="24"/>
                <w:highlight w:val="none"/>
              </w:rPr>
              <w:t>10.  需要补充的其他内容</w:t>
            </w:r>
          </w:p>
        </w:tc>
      </w:tr>
      <w:tr w14:paraId="6300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4917B0EB">
            <w:pPr>
              <w:spacing w:line="312" w:lineRule="auto"/>
              <w:rPr>
                <w:color w:val="auto"/>
                <w:highlight w:val="none"/>
              </w:rPr>
            </w:pPr>
            <w:r>
              <w:rPr>
                <w:color w:val="auto"/>
                <w:highlight w:val="none"/>
              </w:rPr>
              <w:t xml:space="preserve">10.1 </w:t>
            </w:r>
            <w:r>
              <w:rPr>
                <w:rFonts w:hint="eastAsia"/>
                <w:color w:val="auto"/>
                <w:highlight w:val="none"/>
              </w:rPr>
              <w:t>词语定义</w:t>
            </w:r>
          </w:p>
        </w:tc>
      </w:tr>
      <w:tr w14:paraId="0FA1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2EFEA694">
            <w:pPr>
              <w:spacing w:line="312" w:lineRule="auto"/>
              <w:jc w:val="center"/>
              <w:rPr>
                <w:color w:val="auto"/>
                <w:highlight w:val="none"/>
              </w:rPr>
            </w:pPr>
            <w:r>
              <w:rPr>
                <w:color w:val="auto"/>
                <w:highlight w:val="none"/>
              </w:rPr>
              <w:t>10.1.1</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D589BA1">
            <w:pPr>
              <w:spacing w:line="312" w:lineRule="auto"/>
              <w:rPr>
                <w:color w:val="auto"/>
                <w:highlight w:val="none"/>
              </w:rPr>
            </w:pPr>
            <w:r>
              <w:rPr>
                <w:rFonts w:hint="eastAsia"/>
                <w:color w:val="auto"/>
                <w:highlight w:val="none"/>
              </w:rPr>
              <w:t>类似业绩</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71B5A4A6">
            <w:pPr>
              <w:spacing w:line="312" w:lineRule="auto"/>
              <w:rPr>
                <w:rFonts w:ascii="宋体" w:hAnsi="宋体"/>
                <w:color w:val="auto"/>
                <w:highlight w:val="none"/>
              </w:rPr>
            </w:pPr>
            <w:r>
              <w:rPr>
                <w:rFonts w:hint="eastAsia"/>
                <w:color w:val="auto"/>
                <w:szCs w:val="21"/>
                <w:highlight w:val="none"/>
              </w:rPr>
              <w:t>/</w:t>
            </w:r>
          </w:p>
        </w:tc>
      </w:tr>
      <w:tr w14:paraId="2F38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69CBA015">
            <w:pPr>
              <w:spacing w:line="312" w:lineRule="auto"/>
              <w:jc w:val="center"/>
              <w:rPr>
                <w:color w:val="auto"/>
                <w:highlight w:val="none"/>
              </w:rPr>
            </w:pPr>
            <w:r>
              <w:rPr>
                <w:color w:val="auto"/>
                <w:highlight w:val="none"/>
              </w:rPr>
              <w:t>10.1.2</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8A3AB6">
            <w:pPr>
              <w:spacing w:line="312" w:lineRule="auto"/>
              <w:rPr>
                <w:color w:val="auto"/>
                <w:highlight w:val="none"/>
              </w:rPr>
            </w:pPr>
            <w:r>
              <w:rPr>
                <w:rFonts w:hint="eastAsia"/>
                <w:color w:val="auto"/>
                <w:highlight w:val="none"/>
              </w:rPr>
              <w:t>不良行为记录</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4439D45D">
            <w:pPr>
              <w:spacing w:line="312" w:lineRule="auto"/>
              <w:rPr>
                <w:color w:val="auto"/>
                <w:szCs w:val="21"/>
                <w:highlight w:val="none"/>
              </w:rPr>
            </w:pPr>
            <w:r>
              <w:rPr>
                <w:rFonts w:hint="eastAsia"/>
                <w:color w:val="auto"/>
                <w:szCs w:val="21"/>
                <w:highlight w:val="none"/>
              </w:rPr>
              <w:t>列入“信用中国”（或中国执行信息公开网）网站的”失信被执行人查询”，“重大税收违法失信主体”、“中国政府采购网”网站的“政府采购严重违法失信行为记录名单”</w:t>
            </w:r>
            <w:r>
              <w:rPr>
                <w:rFonts w:hint="eastAsia"/>
                <w:color w:val="auto"/>
                <w:highlight w:val="none"/>
              </w:rPr>
              <w:t xml:space="preserve"> </w:t>
            </w:r>
            <w:r>
              <w:rPr>
                <w:rFonts w:hint="eastAsia"/>
                <w:color w:val="auto"/>
                <w:szCs w:val="21"/>
                <w:highlight w:val="none"/>
              </w:rPr>
              <w:t>（查询日期从招标公告发布之日起）。</w:t>
            </w:r>
            <w:r>
              <w:rPr>
                <w:color w:val="auto"/>
                <w:szCs w:val="21"/>
                <w:highlight w:val="none"/>
              </w:rPr>
              <w:t xml:space="preserve"> </w:t>
            </w:r>
          </w:p>
        </w:tc>
      </w:tr>
      <w:tr w14:paraId="3FE8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2AFECBA3">
            <w:pPr>
              <w:spacing w:line="360" w:lineRule="auto"/>
              <w:rPr>
                <w:rFonts w:hint="eastAsia"/>
                <w:b/>
                <w:color w:val="auto"/>
                <w:szCs w:val="21"/>
                <w:highlight w:val="none"/>
              </w:rPr>
            </w:pPr>
            <w:r>
              <w:rPr>
                <w:b/>
                <w:color w:val="auto"/>
                <w:szCs w:val="21"/>
                <w:highlight w:val="none"/>
              </w:rPr>
              <w:t xml:space="preserve">10.2  </w:t>
            </w:r>
            <w:r>
              <w:rPr>
                <w:rFonts w:hint="eastAsia"/>
                <w:b/>
                <w:color w:val="auto"/>
                <w:szCs w:val="21"/>
                <w:highlight w:val="none"/>
              </w:rPr>
              <w:t>招标控制价</w:t>
            </w:r>
            <w:r>
              <w:rPr>
                <w:b/>
                <w:color w:val="auto"/>
                <w:szCs w:val="21"/>
                <w:highlight w:val="none"/>
              </w:rPr>
              <w:t xml:space="preserve">: </w:t>
            </w:r>
          </w:p>
          <w:p w14:paraId="14CA5E0C">
            <w:pPr>
              <w:spacing w:line="312" w:lineRule="auto"/>
              <w:rPr>
                <w:rFonts w:hint="default" w:eastAsia="宋体"/>
                <w:b/>
                <w:color w:val="auto"/>
                <w:highlight w:val="none"/>
                <w:lang w:val="en-US" w:eastAsia="zh-CN"/>
              </w:rPr>
            </w:pPr>
            <w:r>
              <w:rPr>
                <w:rFonts w:hint="eastAsia"/>
                <w:b/>
                <w:color w:val="auto"/>
                <w:szCs w:val="21"/>
                <w:highlight w:val="none"/>
              </w:rPr>
              <w:t>本项目</w:t>
            </w:r>
            <w:r>
              <w:rPr>
                <w:rFonts w:hint="eastAsia" w:ascii="宋体" w:hAnsi="宋体" w:cs="宋体"/>
                <w:b/>
                <w:color w:val="auto"/>
                <w:kern w:val="0"/>
                <w:szCs w:val="21"/>
                <w:highlight w:val="none"/>
                <w:lang w:bidi="ar"/>
              </w:rPr>
              <w:t>招标控制价：4086865.27</w:t>
            </w:r>
            <w:r>
              <w:rPr>
                <w:b/>
                <w:color w:val="auto"/>
                <w:highlight w:val="none"/>
              </w:rPr>
              <w:t>元</w:t>
            </w:r>
          </w:p>
          <w:p w14:paraId="21D780E6">
            <w:pPr>
              <w:spacing w:line="312" w:lineRule="auto"/>
              <w:rPr>
                <w:b/>
                <w:color w:val="auto"/>
                <w:highlight w:val="none"/>
              </w:rPr>
            </w:pPr>
            <w:r>
              <w:rPr>
                <w:rFonts w:hint="eastAsia" w:ascii="宋体" w:hAnsi="宋体" w:cs="宋体"/>
                <w:b/>
                <w:color w:val="auto"/>
                <w:kern w:val="0"/>
                <w:szCs w:val="21"/>
                <w:highlight w:val="none"/>
                <w:lang w:bidi="ar"/>
              </w:rPr>
              <w:t>具体详见招标控制价明细表，投标人的投标报价不得高于上述招标控制价，否则按无效标处理。</w:t>
            </w:r>
          </w:p>
        </w:tc>
      </w:tr>
      <w:tr w14:paraId="2922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5412CF38">
            <w:pPr>
              <w:spacing w:line="312" w:lineRule="auto"/>
              <w:rPr>
                <w:color w:val="auto"/>
                <w:highlight w:val="none"/>
              </w:rPr>
            </w:pPr>
            <w:r>
              <w:rPr>
                <w:color w:val="auto"/>
                <w:highlight w:val="none"/>
              </w:rPr>
              <w:t xml:space="preserve">10.3  </w:t>
            </w:r>
            <w:r>
              <w:rPr>
                <w:rFonts w:hint="eastAsia"/>
                <w:color w:val="auto"/>
                <w:highlight w:val="none"/>
              </w:rPr>
              <w:t>“暗标”评审</w:t>
            </w:r>
            <w:r>
              <w:rPr>
                <w:color w:val="auto"/>
                <w:highlight w:val="none"/>
              </w:rPr>
              <w:t xml:space="preserve">   </w:t>
            </w:r>
          </w:p>
        </w:tc>
      </w:tr>
      <w:tr w14:paraId="25E8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58E1DFB">
            <w:pPr>
              <w:spacing w:line="312" w:lineRule="auto"/>
              <w:jc w:val="center"/>
              <w:rPr>
                <w:color w:val="auto"/>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7EAE05B">
            <w:pPr>
              <w:spacing w:line="312" w:lineRule="auto"/>
              <w:rPr>
                <w:color w:val="auto"/>
                <w:highlight w:val="none"/>
              </w:rPr>
            </w:pPr>
            <w:r>
              <w:rPr>
                <w:rFonts w:hint="eastAsia"/>
                <w:color w:val="auto"/>
                <w:highlight w:val="none"/>
              </w:rPr>
              <w:t>施工组织设计是否采用“暗标”评审方式</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02C93EE2">
            <w:pPr>
              <w:spacing w:line="312" w:lineRule="auto"/>
              <w:rPr>
                <w:color w:val="auto"/>
                <w:highlight w:val="none"/>
              </w:rPr>
            </w:pPr>
            <w:r>
              <w:rPr>
                <w:rFonts w:hint="eastAsia"/>
                <w:color w:val="auto"/>
                <w:highlight w:val="none"/>
              </w:rPr>
              <w:t>不采用</w:t>
            </w:r>
          </w:p>
        </w:tc>
      </w:tr>
      <w:tr w14:paraId="54D2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356BF778">
            <w:pPr>
              <w:spacing w:line="312" w:lineRule="auto"/>
              <w:rPr>
                <w:color w:val="auto"/>
                <w:highlight w:val="none"/>
              </w:rPr>
            </w:pPr>
            <w:r>
              <w:rPr>
                <w:color w:val="auto"/>
                <w:highlight w:val="none"/>
              </w:rPr>
              <w:t xml:space="preserve">10.4  </w:t>
            </w:r>
            <w:r>
              <w:rPr>
                <w:rFonts w:hint="eastAsia"/>
                <w:color w:val="auto"/>
                <w:highlight w:val="none"/>
              </w:rPr>
              <w:t>计算机辅助评标</w:t>
            </w:r>
          </w:p>
        </w:tc>
      </w:tr>
      <w:tr w14:paraId="1C6F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7FD5E454">
            <w:pPr>
              <w:spacing w:line="312" w:lineRule="auto"/>
              <w:jc w:val="center"/>
              <w:rPr>
                <w:color w:val="auto"/>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67B8D4F">
            <w:pPr>
              <w:spacing w:line="312" w:lineRule="auto"/>
              <w:rPr>
                <w:color w:val="auto"/>
                <w:highlight w:val="none"/>
              </w:rPr>
            </w:pPr>
            <w:r>
              <w:rPr>
                <w:rFonts w:hint="eastAsia"/>
                <w:color w:val="auto"/>
                <w:highlight w:val="none"/>
              </w:rPr>
              <w:t>是否实行计算机辅助评标</w:t>
            </w:r>
          </w:p>
        </w:tc>
        <w:tc>
          <w:tcPr>
            <w:tcW w:w="6027" w:type="dxa"/>
            <w:tcBorders>
              <w:top w:val="single" w:color="auto" w:sz="4" w:space="0"/>
              <w:left w:val="single" w:color="auto" w:sz="4" w:space="0"/>
              <w:bottom w:val="single" w:color="auto" w:sz="4" w:space="0"/>
              <w:right w:val="single" w:color="auto" w:sz="4" w:space="0"/>
            </w:tcBorders>
            <w:noWrap w:val="0"/>
            <w:vAlign w:val="center"/>
          </w:tcPr>
          <w:p w14:paraId="00DD5B0F">
            <w:pPr>
              <w:spacing w:line="312" w:lineRule="auto"/>
              <w:rPr>
                <w:color w:val="auto"/>
                <w:highlight w:val="none"/>
              </w:rPr>
            </w:pPr>
            <w:r>
              <w:rPr>
                <w:rFonts w:hint="eastAsia"/>
                <w:color w:val="auto"/>
                <w:highlight w:val="none"/>
              </w:rPr>
              <w:t>是</w:t>
            </w:r>
          </w:p>
        </w:tc>
      </w:tr>
      <w:tr w14:paraId="5CC3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218A7E68">
            <w:pPr>
              <w:rPr>
                <w:color w:val="auto"/>
                <w:highlight w:val="none"/>
              </w:rPr>
            </w:pPr>
            <w:r>
              <w:rPr>
                <w:color w:val="auto"/>
                <w:highlight w:val="none"/>
              </w:rPr>
              <w:t>10.5</w:t>
            </w:r>
            <w:r>
              <w:rPr>
                <w:rFonts w:hint="eastAsia"/>
                <w:color w:val="auto"/>
                <w:highlight w:val="none"/>
              </w:rPr>
              <w:t>中标公示</w:t>
            </w:r>
          </w:p>
        </w:tc>
      </w:tr>
      <w:tr w14:paraId="2794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1AFF9569">
            <w:pPr>
              <w:spacing w:line="312" w:lineRule="auto"/>
              <w:rPr>
                <w:color w:val="auto"/>
                <w:highlight w:val="none"/>
              </w:rPr>
            </w:pPr>
          </w:p>
        </w:tc>
        <w:tc>
          <w:tcPr>
            <w:tcW w:w="8660" w:type="dxa"/>
            <w:gridSpan w:val="2"/>
            <w:tcBorders>
              <w:top w:val="single" w:color="auto" w:sz="4" w:space="0"/>
              <w:left w:val="single" w:color="auto" w:sz="4" w:space="0"/>
              <w:bottom w:val="single" w:color="auto" w:sz="4" w:space="0"/>
              <w:right w:val="single" w:color="auto" w:sz="4" w:space="0"/>
            </w:tcBorders>
            <w:noWrap w:val="0"/>
            <w:vAlign w:val="center"/>
          </w:tcPr>
          <w:p w14:paraId="7B82823D">
            <w:pPr>
              <w:spacing w:line="312" w:lineRule="auto"/>
              <w:rPr>
                <w:color w:val="auto"/>
                <w:highlight w:val="none"/>
              </w:rPr>
            </w:pPr>
            <w:r>
              <w:rPr>
                <w:rFonts w:hint="eastAsia"/>
                <w:color w:val="auto"/>
                <w:highlight w:val="none"/>
              </w:rPr>
              <w:t>在中标通知书发出前，招标人将中标候选人的情况在本招标项目招标公告发布的同一媒介和有形建筑市场／交易中心予以公示，公示期不少于</w:t>
            </w:r>
            <w:r>
              <w:rPr>
                <w:color w:val="auto"/>
                <w:highlight w:val="none"/>
              </w:rPr>
              <w:t>3</w:t>
            </w:r>
            <w:r>
              <w:rPr>
                <w:rFonts w:hint="eastAsia"/>
                <w:color w:val="auto"/>
                <w:highlight w:val="none"/>
              </w:rPr>
              <w:t>日。</w:t>
            </w:r>
          </w:p>
        </w:tc>
      </w:tr>
      <w:tr w14:paraId="5CBF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39C92304">
            <w:pPr>
              <w:spacing w:line="312" w:lineRule="auto"/>
              <w:ind w:left="210" w:hanging="210" w:hangingChars="100"/>
              <w:rPr>
                <w:color w:val="auto"/>
                <w:highlight w:val="none"/>
              </w:rPr>
            </w:pPr>
            <w:r>
              <w:rPr>
                <w:color w:val="auto"/>
                <w:highlight w:val="none"/>
              </w:rPr>
              <w:t>10.6</w:t>
            </w:r>
            <w:r>
              <w:rPr>
                <w:rFonts w:hint="eastAsia"/>
                <w:color w:val="auto"/>
                <w:highlight w:val="none"/>
              </w:rPr>
              <w:t>知识产权</w:t>
            </w:r>
          </w:p>
        </w:tc>
      </w:tr>
      <w:tr w14:paraId="08CE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ED204C0">
            <w:pPr>
              <w:spacing w:line="312" w:lineRule="auto"/>
              <w:rPr>
                <w:color w:val="auto"/>
                <w:highlight w:val="none"/>
              </w:rPr>
            </w:pPr>
          </w:p>
        </w:tc>
        <w:tc>
          <w:tcPr>
            <w:tcW w:w="8660" w:type="dxa"/>
            <w:gridSpan w:val="2"/>
            <w:tcBorders>
              <w:top w:val="single" w:color="auto" w:sz="4" w:space="0"/>
              <w:left w:val="single" w:color="auto" w:sz="4" w:space="0"/>
              <w:bottom w:val="single" w:color="auto" w:sz="4" w:space="0"/>
              <w:right w:val="single" w:color="auto" w:sz="4" w:space="0"/>
            </w:tcBorders>
            <w:noWrap w:val="0"/>
            <w:vAlign w:val="center"/>
          </w:tcPr>
          <w:p w14:paraId="1A467DA4">
            <w:pPr>
              <w:spacing w:line="312" w:lineRule="auto"/>
              <w:rPr>
                <w:color w:val="auto"/>
                <w:highlight w:val="none"/>
              </w:rPr>
            </w:pPr>
            <w:r>
              <w:rPr>
                <w:rFonts w:hint="eastAsia"/>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A8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40C0308C">
            <w:pPr>
              <w:rPr>
                <w:color w:val="auto"/>
                <w:highlight w:val="none"/>
              </w:rPr>
            </w:pPr>
            <w:r>
              <w:rPr>
                <w:color w:val="auto"/>
                <w:highlight w:val="none"/>
              </w:rPr>
              <w:t>10.7</w:t>
            </w:r>
            <w:r>
              <w:rPr>
                <w:rFonts w:hint="eastAsia"/>
                <w:color w:val="auto"/>
                <w:highlight w:val="none"/>
              </w:rPr>
              <w:t>重新招标的其他情形</w:t>
            </w:r>
          </w:p>
        </w:tc>
      </w:tr>
      <w:tr w14:paraId="3C21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6FD7D2DD">
            <w:pPr>
              <w:spacing w:line="312" w:lineRule="auto"/>
              <w:rPr>
                <w:color w:val="auto"/>
                <w:highlight w:val="none"/>
              </w:rPr>
            </w:pPr>
          </w:p>
        </w:tc>
        <w:tc>
          <w:tcPr>
            <w:tcW w:w="8660" w:type="dxa"/>
            <w:gridSpan w:val="2"/>
            <w:tcBorders>
              <w:top w:val="single" w:color="auto" w:sz="4" w:space="0"/>
              <w:left w:val="single" w:color="auto" w:sz="4" w:space="0"/>
              <w:bottom w:val="single" w:color="auto" w:sz="4" w:space="0"/>
              <w:right w:val="single" w:color="auto" w:sz="4" w:space="0"/>
            </w:tcBorders>
            <w:noWrap w:val="0"/>
            <w:vAlign w:val="center"/>
          </w:tcPr>
          <w:p w14:paraId="5B73F3DA">
            <w:pPr>
              <w:rPr>
                <w:color w:val="auto"/>
                <w:highlight w:val="none"/>
              </w:rPr>
            </w:pPr>
            <w:r>
              <w:rPr>
                <w:rFonts w:hint="eastAsia"/>
                <w:color w:val="auto"/>
                <w:highlight w:val="none"/>
              </w:rPr>
              <w:t>除投标人须知正文第</w:t>
            </w:r>
            <w:r>
              <w:rPr>
                <w:color w:val="auto"/>
                <w:highlight w:val="none"/>
              </w:rPr>
              <w:t>8</w:t>
            </w:r>
            <w:r>
              <w:rPr>
                <w:rFonts w:hint="eastAsia"/>
                <w:color w:val="auto"/>
                <w:highlight w:val="none"/>
              </w:rPr>
              <w:t>条规定的情形外，除非已经产生中标候选人，在投标有效期内同意延长投标有效期的投标人少于三个的，招标人应当依法重新招标。</w:t>
            </w:r>
          </w:p>
        </w:tc>
      </w:tr>
      <w:tr w14:paraId="38F4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7DF243E9">
            <w:pPr>
              <w:spacing w:line="312" w:lineRule="auto"/>
              <w:ind w:left="210" w:hanging="210" w:hangingChars="100"/>
              <w:rPr>
                <w:color w:val="auto"/>
                <w:highlight w:val="none"/>
              </w:rPr>
            </w:pPr>
            <w:r>
              <w:rPr>
                <w:color w:val="auto"/>
                <w:highlight w:val="none"/>
              </w:rPr>
              <w:t>10.8</w:t>
            </w:r>
            <w:r>
              <w:rPr>
                <w:rFonts w:hint="eastAsia"/>
                <w:color w:val="auto"/>
                <w:highlight w:val="none"/>
              </w:rPr>
              <w:t>同义词语</w:t>
            </w:r>
          </w:p>
        </w:tc>
      </w:tr>
      <w:tr w14:paraId="014E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1AB1D244">
            <w:pPr>
              <w:spacing w:line="312" w:lineRule="auto"/>
              <w:rPr>
                <w:color w:val="auto"/>
                <w:highlight w:val="none"/>
              </w:rPr>
            </w:pPr>
          </w:p>
        </w:tc>
        <w:tc>
          <w:tcPr>
            <w:tcW w:w="8660" w:type="dxa"/>
            <w:gridSpan w:val="2"/>
            <w:tcBorders>
              <w:top w:val="single" w:color="auto" w:sz="4" w:space="0"/>
              <w:left w:val="single" w:color="auto" w:sz="4" w:space="0"/>
              <w:bottom w:val="single" w:color="auto" w:sz="4" w:space="0"/>
              <w:right w:val="single" w:color="auto" w:sz="4" w:space="0"/>
            </w:tcBorders>
            <w:noWrap w:val="0"/>
            <w:vAlign w:val="center"/>
          </w:tcPr>
          <w:p w14:paraId="008C7FBD">
            <w:pPr>
              <w:rPr>
                <w:color w:val="auto"/>
                <w:highlight w:val="none"/>
              </w:rPr>
            </w:pPr>
            <w:r>
              <w:rPr>
                <w:rFonts w:hint="eastAsia"/>
                <w:color w:val="auto"/>
                <w:highlight w:val="none"/>
              </w:rPr>
              <w:t>构成招标文件组成部分的“通用合同条款”、“专用合同条款”、“技术标准和要求”和“工程量清单”等章节中出现的措辞“发包人”和“承包人”，在招标投标阶段应当分别按“招标人”和“投标人”进行理解。</w:t>
            </w:r>
          </w:p>
        </w:tc>
      </w:tr>
      <w:tr w14:paraId="12FD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5CF7A0BC">
            <w:pPr>
              <w:spacing w:line="312" w:lineRule="auto"/>
              <w:ind w:left="210" w:hanging="210" w:hangingChars="100"/>
              <w:rPr>
                <w:color w:val="auto"/>
                <w:highlight w:val="none"/>
              </w:rPr>
            </w:pPr>
            <w:r>
              <w:rPr>
                <w:color w:val="auto"/>
                <w:highlight w:val="none"/>
              </w:rPr>
              <w:t>10.9</w:t>
            </w:r>
            <w:r>
              <w:rPr>
                <w:rFonts w:hint="eastAsia"/>
                <w:color w:val="auto"/>
                <w:highlight w:val="none"/>
              </w:rPr>
              <w:t>监</w:t>
            </w:r>
            <w:r>
              <w:rPr>
                <w:color w:val="auto"/>
                <w:highlight w:val="none"/>
              </w:rPr>
              <w:t xml:space="preserve">  </w:t>
            </w:r>
            <w:r>
              <w:rPr>
                <w:rFonts w:hint="eastAsia"/>
                <w:color w:val="auto"/>
                <w:highlight w:val="none"/>
              </w:rPr>
              <w:t>督</w:t>
            </w:r>
          </w:p>
        </w:tc>
      </w:tr>
      <w:tr w14:paraId="03BE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353D467E">
            <w:pPr>
              <w:spacing w:line="312" w:lineRule="auto"/>
              <w:rPr>
                <w:color w:val="auto"/>
                <w:highlight w:val="none"/>
              </w:rPr>
            </w:pPr>
          </w:p>
        </w:tc>
        <w:tc>
          <w:tcPr>
            <w:tcW w:w="8660" w:type="dxa"/>
            <w:gridSpan w:val="2"/>
            <w:tcBorders>
              <w:top w:val="single" w:color="auto" w:sz="4" w:space="0"/>
              <w:left w:val="single" w:color="auto" w:sz="4" w:space="0"/>
              <w:bottom w:val="single" w:color="auto" w:sz="4" w:space="0"/>
              <w:right w:val="single" w:color="auto" w:sz="4" w:space="0"/>
            </w:tcBorders>
            <w:noWrap w:val="0"/>
            <w:vAlign w:val="center"/>
          </w:tcPr>
          <w:p w14:paraId="57421A6E">
            <w:pPr>
              <w:rPr>
                <w:color w:val="auto"/>
                <w:highlight w:val="none"/>
              </w:rPr>
            </w:pPr>
            <w:r>
              <w:rPr>
                <w:rFonts w:hint="eastAsia"/>
                <w:color w:val="auto"/>
                <w:highlight w:val="none"/>
              </w:rPr>
              <w:t>本项目的招标投标活动及其相关当事人应当接受有管辖权的建设工程招标投标行政监督部门依法实施的监督。</w:t>
            </w:r>
          </w:p>
        </w:tc>
      </w:tr>
      <w:tr w14:paraId="3A8F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494EC15E">
            <w:pPr>
              <w:spacing w:line="312" w:lineRule="auto"/>
              <w:ind w:left="210" w:hanging="210" w:hangingChars="100"/>
              <w:rPr>
                <w:color w:val="auto"/>
                <w:highlight w:val="none"/>
              </w:rPr>
            </w:pPr>
            <w:r>
              <w:rPr>
                <w:color w:val="auto"/>
                <w:highlight w:val="none"/>
              </w:rPr>
              <w:t>10.10</w:t>
            </w:r>
            <w:r>
              <w:rPr>
                <w:rFonts w:hint="eastAsia"/>
                <w:color w:val="auto"/>
                <w:highlight w:val="none"/>
              </w:rPr>
              <w:t>解释权</w:t>
            </w:r>
          </w:p>
        </w:tc>
      </w:tr>
      <w:tr w14:paraId="3679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40E97962">
            <w:pPr>
              <w:spacing w:line="312" w:lineRule="auto"/>
              <w:rPr>
                <w:color w:val="auto"/>
                <w:highlight w:val="none"/>
              </w:rPr>
            </w:pPr>
          </w:p>
        </w:tc>
        <w:tc>
          <w:tcPr>
            <w:tcW w:w="8660" w:type="dxa"/>
            <w:gridSpan w:val="2"/>
            <w:tcBorders>
              <w:top w:val="single" w:color="auto" w:sz="4" w:space="0"/>
              <w:left w:val="single" w:color="auto" w:sz="4" w:space="0"/>
              <w:bottom w:val="single" w:color="auto" w:sz="4" w:space="0"/>
              <w:right w:val="single" w:color="auto" w:sz="4" w:space="0"/>
            </w:tcBorders>
            <w:noWrap w:val="0"/>
            <w:vAlign w:val="center"/>
          </w:tcPr>
          <w:p w14:paraId="74EE3360">
            <w:pPr>
              <w:spacing w:line="312" w:lineRule="auto"/>
              <w:rPr>
                <w:color w:val="auto"/>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5DE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65F11CE8">
            <w:pPr>
              <w:rPr>
                <w:color w:val="auto"/>
                <w:highlight w:val="none"/>
              </w:rPr>
            </w:pPr>
            <w:r>
              <w:rPr>
                <w:b/>
                <w:color w:val="auto"/>
                <w:szCs w:val="21"/>
                <w:highlight w:val="none"/>
              </w:rPr>
              <w:t>10.11</w:t>
            </w:r>
            <w:r>
              <w:rPr>
                <w:color w:val="auto"/>
                <w:highlight w:val="none"/>
              </w:rPr>
              <w:t xml:space="preserve"> </w:t>
            </w:r>
            <w:r>
              <w:rPr>
                <w:rFonts w:hint="eastAsia"/>
                <w:color w:val="auto"/>
                <w:highlight w:val="none"/>
              </w:rPr>
              <w:t>招标人补充的其他内容</w:t>
            </w:r>
          </w:p>
        </w:tc>
      </w:tr>
      <w:tr w14:paraId="5DA2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303EC63D">
            <w:pPr>
              <w:numPr>
                <w:ilvl w:val="0"/>
                <w:numId w:val="1"/>
              </w:numPr>
              <w:spacing w:line="360" w:lineRule="auto"/>
              <w:rPr>
                <w:rFonts w:ascii="宋体" w:hAnsi="宋体"/>
                <w:b/>
                <w:color w:val="auto"/>
                <w:szCs w:val="21"/>
                <w:highlight w:val="none"/>
              </w:rPr>
            </w:pPr>
            <w:r>
              <w:rPr>
                <w:rFonts w:hint="eastAsia" w:ascii="宋体" w:hAnsi="宋体"/>
                <w:b/>
                <w:color w:val="auto"/>
                <w:szCs w:val="21"/>
                <w:highlight w:val="none"/>
              </w:rPr>
              <w:t>招标控制价编制依据</w:t>
            </w:r>
          </w:p>
          <w:p w14:paraId="5181BF1D">
            <w:pPr>
              <w:pStyle w:val="2"/>
              <w:ind w:left="0" w:leftChars="0" w:firstLine="0" w:firstLineChars="0"/>
              <w:rPr>
                <w:rFonts w:hint="eastAsia"/>
                <w:color w:val="auto"/>
              </w:rPr>
            </w:pPr>
            <w:r>
              <w:rPr>
                <w:rFonts w:hint="eastAsia"/>
                <w:color w:val="auto"/>
              </w:rPr>
              <w:t>1、委托方提供的工程设计图纸、报审招标控制价、补充说明等；</w:t>
            </w:r>
          </w:p>
          <w:p w14:paraId="196F2277">
            <w:pPr>
              <w:pStyle w:val="2"/>
              <w:ind w:left="0" w:leftChars="0" w:firstLine="0" w:firstLineChars="0"/>
              <w:rPr>
                <w:rFonts w:hint="eastAsia"/>
                <w:color w:val="auto"/>
              </w:rPr>
            </w:pPr>
            <w:r>
              <w:rPr>
                <w:rFonts w:hint="eastAsia"/>
                <w:color w:val="auto"/>
              </w:rPr>
              <w:t>2、工程量清单执行《建设工程工程量清单计价规范》GB 50500-2013；</w:t>
            </w:r>
          </w:p>
          <w:p w14:paraId="4F27177D">
            <w:pPr>
              <w:pStyle w:val="2"/>
              <w:ind w:left="0" w:leftChars="0" w:firstLine="0" w:firstLineChars="0"/>
              <w:rPr>
                <w:rFonts w:hint="eastAsia"/>
                <w:color w:val="auto"/>
              </w:rPr>
            </w:pPr>
            <w:r>
              <w:rPr>
                <w:rFonts w:hint="eastAsia"/>
                <w:color w:val="auto"/>
              </w:rPr>
              <w:t>3、本工程定额依据《河南省房屋建筑与装饰工程预算定额》(HA 01-31-2016)、《河南省市政工程预算定额》(HAAl-31-2016)及其定额综合解释；</w:t>
            </w:r>
          </w:p>
          <w:p w14:paraId="211BB63C">
            <w:pPr>
              <w:pStyle w:val="2"/>
              <w:ind w:left="0" w:leftChars="0" w:firstLine="0" w:firstLineChars="0"/>
              <w:rPr>
                <w:rFonts w:hint="eastAsia"/>
                <w:color w:val="auto"/>
              </w:rPr>
            </w:pPr>
            <w:r>
              <w:rPr>
                <w:rFonts w:hint="eastAsia"/>
                <w:color w:val="auto"/>
              </w:rPr>
              <w:t>4、人工费指数、机械类指数、管理类指数执行豫建消技【2024】15号文；</w:t>
            </w:r>
          </w:p>
          <w:p w14:paraId="7A265010">
            <w:pPr>
              <w:pStyle w:val="2"/>
              <w:ind w:left="0" w:leftChars="0" w:firstLine="0" w:firstLineChars="0"/>
              <w:rPr>
                <w:rFonts w:hint="eastAsia"/>
                <w:color w:val="auto"/>
              </w:rPr>
            </w:pPr>
            <w:r>
              <w:rPr>
                <w:rFonts w:hint="eastAsia"/>
                <w:color w:val="auto"/>
              </w:rPr>
              <w:t>5、材料价格按平顶山市建设工程定额管理站发布的《平顶山工程造价》2024年第三期相应价格调整，不足部分参照2024年《郑州市建设工程材料价格信息》第二季度相应价格调整，未发布的材料价格按我方造价人员市场询问价格计取；</w:t>
            </w:r>
          </w:p>
          <w:p w14:paraId="4A707E4C">
            <w:pPr>
              <w:pStyle w:val="2"/>
              <w:ind w:left="0" w:leftChars="0" w:firstLine="0" w:firstLineChars="0"/>
              <w:rPr>
                <w:color w:val="auto"/>
              </w:rPr>
            </w:pPr>
            <w:r>
              <w:rPr>
                <w:rFonts w:hint="eastAsia"/>
                <w:color w:val="auto"/>
              </w:rPr>
              <w:t>6、根据豫建设标[2017]99号文，其他措施费(夜间施工增加费、二次搬运费、冬雨季施工增加费)足额计取；</w:t>
            </w:r>
          </w:p>
          <w:p w14:paraId="73DF241B">
            <w:pPr>
              <w:numPr>
                <w:ilvl w:val="0"/>
                <w:numId w:val="1"/>
              </w:numPr>
              <w:spacing w:line="360" w:lineRule="auto"/>
              <w:rPr>
                <w:rFonts w:hint="default"/>
                <w:color w:val="auto"/>
                <w:lang w:val="en-US" w:eastAsia="zh-CN"/>
              </w:rPr>
            </w:pPr>
            <w:r>
              <w:rPr>
                <w:rFonts w:hint="eastAsia" w:ascii="宋体" w:hAnsi="宋体" w:eastAsia="宋体" w:cs="Times New Roman"/>
                <w:b/>
                <w:color w:val="auto"/>
                <w:szCs w:val="21"/>
                <w:highlight w:val="none"/>
                <w:lang w:val="en-US" w:eastAsia="zh-CN"/>
              </w:rPr>
              <w:t>合同价款调整办法</w:t>
            </w:r>
          </w:p>
          <w:p w14:paraId="7E4FBFFF">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工程量和综合单价调整原则：招标人发布的工程量清单和实际施工时的工程量相比，因非承包人原因引起的工程量发生变化时，按实调整工程量。当工程量变动幅度在工程量清单数量±15%（含±15%）以内时，其综合单价不调整，当变动幅度在工程量清单数量±15%（不含±15%）以上时，仅调整超出±15%外部分工程量的综合单价，其综合单价调整办法按有关规定执行（具体调整办法可在中标合同中约定）；</w:t>
            </w:r>
          </w:p>
          <w:p w14:paraId="5F0DBE23">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材料单价调整原则：按照《建设工程工程量清单计价规范》（GB50500-2013），承包人承担一定范围的材料价格风险，当主要材料价变动幅度在±5%（含±5%）以内时，不再调整，当变动幅度在±5%（不含±5%）以上时，仅调整超出±5%以外部分（具体调整办法可在中标合同中约定）；</w:t>
            </w:r>
          </w:p>
          <w:p w14:paraId="4E7A83F4">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施工过程中变更、工程签证等按实际发生工程量计算，调整办法执行10.5.1、10.5.2；除合同约定需要调整的内容按实际发生调整外，其他均不再调整；工程量清单未列的项，如与工程量清单中已有的项类似，则根据投标时的投标单价进行调整；如工程量清单中没有的，按照《建设工程工程量清单计价规范》（GB50500-2013）、《河南省市政工程预算定额》（HAA1-31-2016）、《河南省通用安装工程预算定额》（HA02-31-2016）组出综合单价，新综合单价=组出的综合单价*优惠比例（投标人自主投报）。</w:t>
            </w:r>
          </w:p>
          <w:p w14:paraId="647256D9">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政策性调整：招标文件有规定的按招标文件规定执行，招标文件没有明确的按相关政策调整文件规定执行。</w:t>
            </w:r>
          </w:p>
          <w:p w14:paraId="2434575F">
            <w:pPr>
              <w:spacing w:line="360" w:lineRule="auto"/>
              <w:rPr>
                <w:rFonts w:hint="default"/>
                <w:color w:val="auto"/>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缺陷责任期：按国家现行规定执行。在缺陷责任期内如出现施工质量缺陷或由于施工质量而引起的纠纷，应由中标人承担责任及损失。缺陷责任期满后，如工程出现质量事故，将按有关规定进行调查、分析，中标人应承担相关责任。</w:t>
            </w:r>
          </w:p>
          <w:p w14:paraId="653B28D8">
            <w:pPr>
              <w:spacing w:line="360" w:lineRule="auto"/>
              <w:rPr>
                <w:rFonts w:hint="eastAsia"/>
                <w:color w:val="auto"/>
                <w:highlight w:val="none"/>
              </w:rPr>
            </w:pPr>
            <w:r>
              <w:rPr>
                <w:rFonts w:hint="eastAsia" w:ascii="宋体" w:hAnsi="宋体"/>
                <w:b/>
                <w:color w:val="auto"/>
                <w:szCs w:val="21"/>
                <w:highlight w:val="none"/>
                <w:lang w:val="en-US" w:eastAsia="zh-CN"/>
              </w:rPr>
              <w:t>三</w:t>
            </w:r>
            <w:r>
              <w:rPr>
                <w:rFonts w:hint="eastAsia" w:ascii="宋体" w:hAnsi="宋体"/>
                <w:b/>
                <w:color w:val="auto"/>
                <w:szCs w:val="21"/>
                <w:highlight w:val="none"/>
              </w:rPr>
              <w:t>、合同价款的支付方式</w:t>
            </w:r>
          </w:p>
          <w:p w14:paraId="57393C53">
            <w:pPr>
              <w:spacing w:line="360" w:lineRule="auto"/>
              <w:rPr>
                <w:rFonts w:hint="eastAsia" w:ascii="宋体" w:hAnsi="宋体"/>
                <w:b/>
                <w:bCs/>
                <w:color w:val="auto"/>
                <w:szCs w:val="21"/>
                <w:highlight w:val="none"/>
              </w:rPr>
            </w:pPr>
            <w:r>
              <w:rPr>
                <w:rFonts w:hint="eastAsia" w:ascii="宋体" w:hAnsi="宋体"/>
                <w:b/>
                <w:bCs/>
                <w:color w:val="auto"/>
                <w:szCs w:val="21"/>
                <w:highlight w:val="none"/>
              </w:rPr>
              <w:t>付款方式：住建局根据代建协议条款约定及时将上级或本级财政部门拨付资金支付给代建单位平顶山湛源城市建设发展有限公司，施工合同签订后且工程实质性开工七天前，由代建单位平顶山湛源城市建设发展有限公司支付合同价款的30%为预付款，每月按工程形象进度支付月进度价款的80%，项目竣工验收合格后，支付至合同价款的80%，剩余价款待审计结算后，支付至结算价的97%，余3%留作质量保修金，待保修期满时无问题后三十日内一次付清（无息）。质量保修金待全部分工程缺陷责任期结束且无质量问题后30日内一次付清（无息）。</w:t>
            </w:r>
          </w:p>
          <w:p w14:paraId="39D84B27">
            <w:pPr>
              <w:spacing w:line="360" w:lineRule="auto"/>
              <w:rPr>
                <w:rFonts w:hint="eastAsia"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、招标实质性要求和条件</w:t>
            </w:r>
          </w:p>
          <w:p w14:paraId="0404A8AE">
            <w:pPr>
              <w:spacing w:line="360" w:lineRule="auto"/>
              <w:rPr>
                <w:rFonts w:hint="eastAsia" w:ascii="宋体" w:hAnsi="宋体"/>
                <w:color w:val="auto"/>
                <w:szCs w:val="21"/>
                <w:highlight w:val="none"/>
              </w:rPr>
            </w:pPr>
            <w:r>
              <w:rPr>
                <w:rFonts w:hint="eastAsia" w:ascii="宋体" w:hAnsi="宋体"/>
                <w:color w:val="auto"/>
                <w:szCs w:val="21"/>
                <w:highlight w:val="none"/>
              </w:rPr>
              <w:t>1、工程质量达到投标文件所报的质量等级。施工中，若因中标人原因造成工程质量未达到投标文件中所报质量等级，中标人应无条件返修并承担由此给招标人造成的一切损失及赔偿费用。在招标人所限定的时间内，中标人不能按要求整改的，招标人有权终止承包合同，并追究由此引起的一切责任。</w:t>
            </w:r>
          </w:p>
          <w:p w14:paraId="47258715">
            <w:pPr>
              <w:spacing w:line="360" w:lineRule="auto"/>
              <w:rPr>
                <w:rFonts w:hint="eastAsia" w:ascii="宋体" w:hAnsi="宋体"/>
                <w:color w:val="auto"/>
                <w:szCs w:val="21"/>
                <w:highlight w:val="none"/>
              </w:rPr>
            </w:pPr>
            <w:r>
              <w:rPr>
                <w:rFonts w:hint="eastAsia" w:ascii="宋体" w:hAnsi="宋体"/>
                <w:color w:val="auto"/>
                <w:szCs w:val="21"/>
                <w:highlight w:val="none"/>
              </w:rPr>
              <w:t>2、严格按照《大气污染防治法》及省、市、区的相关规定进行施工。</w:t>
            </w:r>
          </w:p>
          <w:p w14:paraId="4CFE70AC">
            <w:pPr>
              <w:spacing w:line="360" w:lineRule="auto"/>
              <w:rPr>
                <w:rFonts w:hint="eastAsia" w:ascii="宋体" w:hAnsi="宋体"/>
                <w:color w:val="auto"/>
                <w:szCs w:val="21"/>
                <w:highlight w:val="none"/>
              </w:rPr>
            </w:pPr>
            <w:r>
              <w:rPr>
                <w:rFonts w:hint="eastAsia" w:ascii="宋体" w:hAnsi="宋体"/>
                <w:color w:val="auto"/>
                <w:szCs w:val="21"/>
                <w:highlight w:val="none"/>
              </w:rPr>
              <w:t>3、中标人负责在工程建设中涉及地方关系等方面的协调，并负责协助甲方办理施工许可证，承担由此产生的费用。</w:t>
            </w:r>
          </w:p>
          <w:p w14:paraId="20D902BA">
            <w:pPr>
              <w:spacing w:line="360" w:lineRule="auto"/>
              <w:rPr>
                <w:rFonts w:hint="eastAsia" w:ascii="宋体" w:hAnsi="宋体"/>
                <w:color w:val="auto"/>
                <w:szCs w:val="21"/>
                <w:highlight w:val="none"/>
              </w:rPr>
            </w:pPr>
            <w:r>
              <w:rPr>
                <w:rFonts w:hint="eastAsia" w:ascii="宋体" w:hAnsi="宋体"/>
                <w:color w:val="auto"/>
                <w:szCs w:val="21"/>
                <w:highlight w:val="none"/>
              </w:rPr>
              <w:t>4、投标人一旦中标，应保证按招标人的要求，迅速进场组织施工，且必须服从招标人的统一指挥与协调管理，遵守施工场地工作制度。</w:t>
            </w:r>
          </w:p>
          <w:p w14:paraId="7842F2BE">
            <w:pPr>
              <w:spacing w:line="360" w:lineRule="auto"/>
              <w:rPr>
                <w:rFonts w:hint="eastAsia" w:ascii="宋体" w:hAnsi="宋体"/>
                <w:color w:val="auto"/>
                <w:szCs w:val="21"/>
                <w:highlight w:val="none"/>
              </w:rPr>
            </w:pPr>
            <w:r>
              <w:rPr>
                <w:rFonts w:hint="eastAsia" w:ascii="宋体" w:hAnsi="宋体"/>
                <w:color w:val="auto"/>
                <w:szCs w:val="21"/>
                <w:highlight w:val="none"/>
              </w:rPr>
              <w:t>5、中标人须配置专职安全生产管理人员。专职安全生产管理人员是指经建设主管部门或者其他有关部门安全生产考核合格，并取得安全生产考核合格证书在企业从事安全生产管理工作的专职人员。</w:t>
            </w:r>
          </w:p>
          <w:p w14:paraId="344C7338">
            <w:pPr>
              <w:spacing w:line="360" w:lineRule="auto"/>
              <w:rPr>
                <w:rFonts w:hint="eastAsia" w:ascii="宋体" w:hAnsi="宋体"/>
                <w:color w:val="auto"/>
                <w:szCs w:val="21"/>
                <w:highlight w:val="none"/>
              </w:rPr>
            </w:pPr>
            <w:r>
              <w:rPr>
                <w:rFonts w:hint="eastAsia" w:ascii="宋体" w:hAnsi="宋体"/>
                <w:color w:val="auto"/>
                <w:szCs w:val="21"/>
                <w:highlight w:val="none"/>
              </w:rPr>
              <w:t>6、施工期间，中标人如不按合同、投标文件中承诺和招标文件规定的条件履行，招标人有权按违约处理。</w:t>
            </w:r>
          </w:p>
          <w:p w14:paraId="7C05DF1E">
            <w:pPr>
              <w:spacing w:line="360" w:lineRule="auto"/>
              <w:rPr>
                <w:rFonts w:hint="eastAsia" w:ascii="宋体" w:hAnsi="宋体"/>
                <w:color w:val="auto"/>
                <w:szCs w:val="21"/>
                <w:highlight w:val="none"/>
              </w:rPr>
            </w:pPr>
            <w:r>
              <w:rPr>
                <w:rFonts w:hint="eastAsia" w:ascii="宋体" w:hAnsi="宋体"/>
                <w:color w:val="auto"/>
                <w:szCs w:val="21"/>
                <w:highlight w:val="none"/>
              </w:rPr>
              <w:t>7、中标人应服从建设单位、监理单位的监督管理，配合各责任主体完成职责范围内的工作。</w:t>
            </w:r>
          </w:p>
          <w:p w14:paraId="6B668000">
            <w:pPr>
              <w:spacing w:line="360" w:lineRule="auto"/>
              <w:rPr>
                <w:rFonts w:hint="eastAsia" w:ascii="宋体" w:hAnsi="宋体"/>
                <w:color w:val="auto"/>
                <w:szCs w:val="21"/>
                <w:highlight w:val="none"/>
              </w:rPr>
            </w:pPr>
            <w:r>
              <w:rPr>
                <w:rFonts w:hint="eastAsia" w:ascii="宋体" w:hAnsi="宋体"/>
                <w:color w:val="auto"/>
                <w:szCs w:val="21"/>
                <w:highlight w:val="none"/>
              </w:rPr>
              <w:t>8、本招标文件中未规定的项目，由招标人与中标人在签订施工承包合同进行约定或按发生时的实际情况由招标人代表和监理工程师共同签字认可，并按前述约定结算。</w:t>
            </w:r>
          </w:p>
          <w:p w14:paraId="25774B34">
            <w:pPr>
              <w:spacing w:line="360" w:lineRule="auto"/>
              <w:rPr>
                <w:rFonts w:hint="eastAsia" w:ascii="宋体" w:hAnsi="宋体"/>
                <w:color w:val="auto"/>
                <w:szCs w:val="21"/>
                <w:highlight w:val="none"/>
              </w:rPr>
            </w:pPr>
            <w:r>
              <w:rPr>
                <w:rFonts w:hint="eastAsia" w:ascii="宋体" w:hAnsi="宋体"/>
                <w:color w:val="auto"/>
                <w:szCs w:val="21"/>
                <w:highlight w:val="none"/>
              </w:rPr>
              <w:t>9、中标人在投标阶段或施工过程中出现安全、质量事故，拖欠农民工工资现象或有不良行为记录，招标人有权取消其中标资格、解除施工合同，中标人自行承担以上原因所形成之全部责任，并负责赔偿由此给招标人造成的一切损失。</w:t>
            </w:r>
          </w:p>
          <w:p w14:paraId="3BF01E83">
            <w:pPr>
              <w:spacing w:line="360" w:lineRule="auto"/>
              <w:rPr>
                <w:rFonts w:hint="eastAsia" w:ascii="宋体" w:hAnsi="宋体"/>
                <w:color w:val="auto"/>
                <w:szCs w:val="21"/>
                <w:highlight w:val="none"/>
              </w:rPr>
            </w:pPr>
            <w:r>
              <w:rPr>
                <w:rFonts w:hint="eastAsia" w:ascii="宋体" w:hAnsi="宋体"/>
                <w:color w:val="auto"/>
                <w:szCs w:val="21"/>
                <w:highlight w:val="none"/>
              </w:rPr>
              <w:t>10、投标人所提供资料必须真实有效，一旦发现弄虚作假行为，招标人有权取消其投标或中标资格，没收投标保证金，同时上报行政监督部门予以处罚。</w:t>
            </w:r>
          </w:p>
          <w:p w14:paraId="675191C3">
            <w:pPr>
              <w:spacing w:line="360" w:lineRule="auto"/>
              <w:rPr>
                <w:rFonts w:hint="eastAsia" w:ascii="宋体" w:hAnsi="宋体"/>
                <w:color w:val="auto"/>
                <w:szCs w:val="21"/>
                <w:highlight w:val="none"/>
              </w:rPr>
            </w:pPr>
            <w:r>
              <w:rPr>
                <w:rFonts w:hint="eastAsia" w:ascii="宋体" w:hAnsi="宋体"/>
                <w:color w:val="auto"/>
                <w:szCs w:val="21"/>
                <w:highlight w:val="none"/>
              </w:rPr>
              <w:t>11、根据豫建建【2018】16号文及平建办【2018】121号《关于加强房屋建筑和市政基础设施工程建设领域劳务用工实名制管理的通知》规定，实行劳务用工实名制和人工费用与其他工程款分账管理制度。</w:t>
            </w:r>
          </w:p>
          <w:p w14:paraId="1F0BCDE7">
            <w:pPr>
              <w:spacing w:line="360" w:lineRule="auto"/>
              <w:rPr>
                <w:rFonts w:hint="eastAsia" w:ascii="宋体" w:hAnsi="宋体"/>
                <w:color w:val="auto"/>
                <w:szCs w:val="21"/>
                <w:highlight w:val="none"/>
              </w:rPr>
            </w:pPr>
            <w:r>
              <w:rPr>
                <w:rFonts w:hint="eastAsia" w:ascii="宋体" w:hAnsi="宋体"/>
                <w:color w:val="auto"/>
                <w:szCs w:val="21"/>
                <w:highlight w:val="none"/>
              </w:rPr>
              <w:t>12、中标人在投标文件中投报的施工项目经理及技术负责人在施工过程中未经招标人同意不得更换；更换必须依据符合相关规定。中标的项目经理及技术负责人在施工过程中未经招标人同意每周工作少于 5 个工作日的，招标人视为中标人违约，并因此承担违约金 10 万元人民币的赔偿责任（其他情况，每少一天支付 3000 元人民币违约金）。对不称职的项目经理和施工管理人员，招标人有权要求中标人更换，更换的人员应不低于原资格要求。项目部管理机构领导工作不力且不能改变者，招标人有权终止合同且保留另选施工队伍的权利，中标人承担由此引发的所有费用。参加本次项目投标项目经理须无其他在建工程（拟担任的项目经理近期有变更的，需提供其变更公告网上查询页面或建设厅行政主管部门出具变更证明材料），涉及争议部分以河南省住房和城乡建设厅关于印发《河南省规范项目经理和项目总监任职行为的若干规定（试行）》的通知（豫建建〔2015〕23 号）进行处理。</w:t>
            </w:r>
          </w:p>
          <w:p w14:paraId="6B8AB5CF">
            <w:pPr>
              <w:spacing w:line="360" w:lineRule="auto"/>
              <w:rPr>
                <w:rFonts w:hint="eastAsia" w:ascii="宋体" w:hAnsi="宋体"/>
                <w:color w:val="auto"/>
                <w:szCs w:val="21"/>
                <w:highlight w:val="none"/>
              </w:rPr>
            </w:pPr>
            <w:r>
              <w:rPr>
                <w:rFonts w:hint="eastAsia" w:ascii="宋体" w:hAnsi="宋体"/>
                <w:color w:val="auto"/>
                <w:szCs w:val="21"/>
                <w:highlight w:val="none"/>
              </w:rPr>
              <w:t>13、施工过程中的设计变更和签证及招标范围外零星附属工程，如果招标人交由中标人施工，中标人应承诺按投标承诺的工程造价确定办法及优惠比例进行结算。</w:t>
            </w:r>
          </w:p>
          <w:p w14:paraId="61B37B76">
            <w:pPr>
              <w:spacing w:line="360" w:lineRule="auto"/>
              <w:rPr>
                <w:rFonts w:hint="eastAsia"/>
                <w:b/>
                <w:color w:val="auto"/>
                <w:sz w:val="32"/>
                <w:szCs w:val="32"/>
                <w:highlight w:val="none"/>
              </w:rPr>
            </w:pPr>
            <w:r>
              <w:rPr>
                <w:rFonts w:hint="eastAsia"/>
                <w:b/>
                <w:color w:val="auto"/>
                <w:sz w:val="32"/>
                <w:szCs w:val="32"/>
                <w:highlight w:val="none"/>
              </w:rPr>
              <w:t>投标人应对上述第</w:t>
            </w:r>
            <w:r>
              <w:rPr>
                <w:rFonts w:hint="eastAsia"/>
                <w:b/>
                <w:color w:val="auto"/>
                <w:sz w:val="32"/>
                <w:szCs w:val="32"/>
                <w:highlight w:val="none"/>
                <w:lang w:val="en-US" w:eastAsia="zh-CN"/>
              </w:rPr>
              <w:t>四</w:t>
            </w:r>
            <w:r>
              <w:rPr>
                <w:rFonts w:hint="eastAsia"/>
                <w:b/>
                <w:color w:val="auto"/>
                <w:sz w:val="32"/>
                <w:szCs w:val="32"/>
                <w:highlight w:val="none"/>
              </w:rPr>
              <w:t>条内容作出响应，未响应或响应内容不完整的视为默认完全响应。</w:t>
            </w:r>
          </w:p>
          <w:p w14:paraId="60FA32C4">
            <w:pPr>
              <w:spacing w:line="400" w:lineRule="exact"/>
              <w:rPr>
                <w:b/>
                <w:color w:val="auto"/>
                <w:szCs w:val="21"/>
                <w:highlight w:val="none"/>
              </w:rPr>
            </w:pPr>
            <w:r>
              <w:rPr>
                <w:rFonts w:hint="eastAsia"/>
                <w:b/>
                <w:color w:val="auto"/>
                <w:szCs w:val="21"/>
                <w:highlight w:val="none"/>
                <w:lang w:val="en-US" w:eastAsia="zh-CN"/>
              </w:rPr>
              <w:t>五</w:t>
            </w:r>
            <w:r>
              <w:rPr>
                <w:rFonts w:hint="eastAsia"/>
                <w:b/>
                <w:color w:val="auto"/>
                <w:szCs w:val="21"/>
                <w:highlight w:val="none"/>
              </w:rPr>
              <w:t>、其他</w:t>
            </w:r>
          </w:p>
          <w:p w14:paraId="1001A4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1、在办理中标通知书备案之前，招标人应办理工程款支付担保（中标价的10%）</w:t>
            </w:r>
            <w:r>
              <w:rPr>
                <w:rFonts w:hint="eastAsia" w:ascii="宋体" w:hAnsi="宋体"/>
                <w:color w:val="auto"/>
                <w:szCs w:val="21"/>
                <w:highlight w:val="none"/>
                <w:lang w:eastAsia="zh-CN"/>
              </w:rPr>
              <w:t>，</w:t>
            </w:r>
            <w:r>
              <w:rPr>
                <w:rFonts w:hint="eastAsia" w:ascii="宋体" w:hAnsi="宋体"/>
                <w:color w:val="auto"/>
                <w:szCs w:val="21"/>
                <w:highlight w:val="none"/>
              </w:rPr>
              <w:t>其保函交平顶山市建设工程招标投标事务中心统一保管。</w:t>
            </w:r>
          </w:p>
          <w:p w14:paraId="0D4F92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中标人在中标后须办理工程履约担保保函（中标价的10%）</w:t>
            </w:r>
            <w:r>
              <w:rPr>
                <w:rFonts w:hint="eastAsia" w:ascii="宋体" w:hAnsi="宋体"/>
                <w:color w:val="auto"/>
                <w:szCs w:val="21"/>
                <w:highlight w:val="none"/>
                <w:lang w:eastAsia="zh-CN"/>
              </w:rPr>
              <w:t>，</w:t>
            </w:r>
            <w:r>
              <w:rPr>
                <w:rFonts w:hint="eastAsia" w:ascii="宋体" w:hAnsi="宋体"/>
                <w:color w:val="auto"/>
                <w:szCs w:val="21"/>
                <w:highlight w:val="none"/>
              </w:rPr>
              <w:t>在办理中标通知书备案之前，中标人履约担保保函交于平顶山市建设工程招标投标事务中心统一保管。。</w:t>
            </w:r>
          </w:p>
          <w:p w14:paraId="0D79E7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中标后，中标人在取得施工许可证后20日内到平顶山市人力资源和社会保障局按中标价的2%足额缴纳农民工工资保证金（转账或电汇或保函）。一旦承包的工程项目中出现拖欠农民工工资的情况，可由人社部门从该工资保证金中先予以支付。此保障金在领取中标通知书之前将此保障金保函交于相关部门集中保管。</w:t>
            </w:r>
            <w:r>
              <w:rPr>
                <w:rFonts w:hint="eastAsia" w:ascii="宋体" w:hAnsi="宋体"/>
                <w:color w:val="auto"/>
                <w:szCs w:val="21"/>
                <w:highlight w:val="none"/>
                <w:lang w:val="en-US" w:eastAsia="zh-CN"/>
              </w:rPr>
              <w:t>注：</w:t>
            </w:r>
            <w:r>
              <w:rPr>
                <w:rFonts w:hint="eastAsia" w:ascii="宋体" w:hAnsi="宋体"/>
                <w:color w:val="auto"/>
                <w:szCs w:val="21"/>
                <w:highlight w:val="none"/>
              </w:rPr>
              <w:t>最终以中标单位与招标人约定执行。</w:t>
            </w:r>
          </w:p>
          <w:p w14:paraId="696521F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3、按照发改价格【2015】299号文件的规定及豫招协【2023】002号文件规定的收费标准，由中标人向代理机构缴纳。</w:t>
            </w:r>
          </w:p>
          <w:p w14:paraId="6820CF9B">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4、本招标文件其他未尽事宜，按照国家有关法律法规执行。</w:t>
            </w:r>
          </w:p>
          <w:p w14:paraId="401C226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、本项目须在平顶山市公共资源交易中心电子交易系统实行合同在线签订。</w:t>
            </w:r>
          </w:p>
          <w:p w14:paraId="0B6F4C6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具体流程：</w:t>
            </w:r>
          </w:p>
          <w:p w14:paraId="14D4FF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招标人（招标人）与中标人（投标人）利用平顶山市公共资源交易平台“合同在线签订模块”，将电子合同推送至对方进行审核，经双方确认均无异议通过后，进行在线签章，完成合同签订并公示。</w:t>
            </w:r>
          </w:p>
        </w:tc>
      </w:tr>
      <w:tr w14:paraId="091D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70" w:type="dxa"/>
            <w:gridSpan w:val="3"/>
            <w:tcBorders>
              <w:top w:val="single" w:color="auto" w:sz="4" w:space="0"/>
              <w:left w:val="single" w:color="auto" w:sz="4" w:space="0"/>
              <w:bottom w:val="single" w:color="auto" w:sz="4" w:space="0"/>
              <w:right w:val="single" w:color="auto" w:sz="4" w:space="0"/>
            </w:tcBorders>
            <w:noWrap w:val="0"/>
            <w:vAlign w:val="center"/>
          </w:tcPr>
          <w:p w14:paraId="296A61D2">
            <w:pPr>
              <w:spacing w:line="360" w:lineRule="auto"/>
              <w:rPr>
                <w:rFonts w:ascii="宋体" w:hAnsi="宋体"/>
                <w:b/>
                <w:color w:val="auto"/>
                <w:szCs w:val="21"/>
                <w:highlight w:val="none"/>
              </w:rPr>
            </w:pPr>
            <w:r>
              <w:rPr>
                <w:rFonts w:hint="eastAsia" w:ascii="宋体" w:hAnsi="宋体"/>
                <w:b/>
                <w:color w:val="auto"/>
                <w:szCs w:val="21"/>
                <w:highlight w:val="none"/>
              </w:rPr>
              <w:t>10.12本项目实行全流程电子招投标，全流程电子化交易项目招标文件编制注意事项：</w:t>
            </w:r>
          </w:p>
          <w:p w14:paraId="59ECC7EF">
            <w:pPr>
              <w:shd w:val="clear" w:color="auto" w:fill="FFFFFF"/>
              <w:spacing w:line="450" w:lineRule="atLeast"/>
              <w:ind w:firstLine="600"/>
              <w:rPr>
                <w:rFonts w:hint="eastAsia"/>
                <w:color w:val="auto"/>
                <w:highlight w:val="none"/>
              </w:rPr>
            </w:pPr>
            <w:r>
              <w:rPr>
                <w:rFonts w:hint="eastAsia"/>
                <w:color w:val="auto"/>
                <w:highlight w:val="none"/>
              </w:rPr>
              <w:t>本项目实行全流程电子招投标，全流程电子化交易项目招标文件编制注意事项：</w:t>
            </w:r>
          </w:p>
          <w:p w14:paraId="107ADC29">
            <w:pPr>
              <w:shd w:val="clear" w:color="auto" w:fill="FFFFFF"/>
              <w:spacing w:line="450" w:lineRule="atLeast"/>
              <w:ind w:firstLine="600"/>
              <w:rPr>
                <w:rFonts w:hint="eastAsia"/>
                <w:color w:val="auto"/>
                <w:highlight w:val="none"/>
              </w:rPr>
            </w:pPr>
            <w:r>
              <w:rPr>
                <w:rFonts w:hint="eastAsia"/>
                <w:color w:val="auto"/>
                <w:highlight w:val="none"/>
              </w:rPr>
              <w:t>本项目为全流程电子化交易项目，请认真阅读招标文件，并注意以下事项。</w:t>
            </w:r>
          </w:p>
          <w:p w14:paraId="7BC43F5D">
            <w:pPr>
              <w:shd w:val="clear" w:color="auto" w:fill="FFFFFF"/>
              <w:spacing w:line="450" w:lineRule="atLeast"/>
              <w:ind w:firstLine="600"/>
              <w:rPr>
                <w:rFonts w:hint="eastAsia"/>
                <w:color w:val="auto"/>
                <w:highlight w:val="none"/>
              </w:rPr>
            </w:pPr>
            <w:r>
              <w:rPr>
                <w:rFonts w:hint="eastAsia"/>
                <w:color w:val="auto"/>
                <w:highlight w:val="none"/>
              </w:rPr>
              <w:t>1.投标人应按招标文件规定编制、提交电子投标文件。</w:t>
            </w:r>
          </w:p>
          <w:p w14:paraId="443D7CA3">
            <w:pPr>
              <w:shd w:val="clear" w:color="auto" w:fill="FFFFFF"/>
              <w:spacing w:line="450" w:lineRule="atLeast"/>
              <w:ind w:firstLine="600"/>
              <w:rPr>
                <w:rFonts w:hint="eastAsia"/>
                <w:color w:val="auto"/>
                <w:highlight w:val="none"/>
              </w:rPr>
            </w:pPr>
            <w:r>
              <w:rPr>
                <w:rFonts w:hint="eastAsia"/>
                <w:color w:val="auto"/>
                <w:highlight w:val="none"/>
              </w:rPr>
              <w:t>2.本项目投标人不用再提供纸质投标文件。</w:t>
            </w:r>
          </w:p>
          <w:p w14:paraId="586A3CBD">
            <w:pPr>
              <w:shd w:val="clear" w:color="auto" w:fill="FFFFFF"/>
              <w:spacing w:line="450" w:lineRule="atLeast"/>
              <w:ind w:firstLine="600"/>
              <w:rPr>
                <w:rFonts w:hint="eastAsia"/>
                <w:color w:val="auto"/>
                <w:highlight w:val="none"/>
              </w:rPr>
            </w:pPr>
            <w:r>
              <w:rPr>
                <w:rFonts w:hint="eastAsia"/>
                <w:color w:val="auto"/>
                <w:highlight w:val="none"/>
              </w:rPr>
              <w:t>3.电子文件下载、制作、提交期间和开标（电子投标文件的解密）环节，投标人须使用CA数字证书（证书须在有效期内）。</w:t>
            </w:r>
          </w:p>
          <w:p w14:paraId="36288814">
            <w:pPr>
              <w:shd w:val="clear" w:color="auto" w:fill="FFFFFF"/>
              <w:spacing w:line="450" w:lineRule="atLeast"/>
              <w:ind w:firstLine="600"/>
              <w:rPr>
                <w:rFonts w:hint="eastAsia"/>
                <w:color w:val="auto"/>
                <w:highlight w:val="none"/>
              </w:rPr>
            </w:pPr>
            <w:r>
              <w:rPr>
                <w:rFonts w:hint="eastAsia"/>
                <w:color w:val="auto"/>
                <w:highlight w:val="none"/>
              </w:rPr>
              <w:t>4.电子投标文件的制作</w:t>
            </w:r>
          </w:p>
          <w:p w14:paraId="5DF3A474">
            <w:pPr>
              <w:shd w:val="clear" w:color="auto" w:fill="FFFFFF"/>
              <w:spacing w:line="450" w:lineRule="atLeast"/>
              <w:ind w:firstLine="600"/>
              <w:rPr>
                <w:color w:val="auto"/>
                <w:highlight w:val="none"/>
              </w:rPr>
            </w:pPr>
            <w:r>
              <w:rPr>
                <w:color w:val="auto"/>
                <w:highlight w:val="none"/>
              </w:rPr>
              <w:t>4.1</w:t>
            </w:r>
            <w:r>
              <w:rPr>
                <w:rFonts w:hint="eastAsia"/>
                <w:color w:val="auto"/>
                <w:highlight w:val="none"/>
              </w:rPr>
              <w:t>投标人登录《全国公共资源交易平台（河南省</w:t>
            </w:r>
            <w:r>
              <w:rPr>
                <w:color w:val="auto"/>
                <w:highlight w:val="none"/>
              </w:rPr>
              <w:t>▪</w:t>
            </w:r>
            <w:r>
              <w:rPr>
                <w:rFonts w:hint="eastAsia"/>
                <w:color w:val="auto"/>
                <w:highlight w:val="none"/>
              </w:rPr>
              <w:t>平顶山市）》公共资源交易系统下载“平顶山投标文件制作系统”，按招标文件要求制作电子投标文件。</w:t>
            </w:r>
          </w:p>
          <w:p w14:paraId="70DDA7E5">
            <w:pPr>
              <w:shd w:val="clear" w:color="auto" w:fill="FFFFFF"/>
              <w:spacing w:line="450" w:lineRule="atLeast"/>
              <w:ind w:firstLine="600"/>
              <w:rPr>
                <w:color w:val="auto"/>
                <w:highlight w:val="none"/>
              </w:rPr>
            </w:pPr>
            <w:r>
              <w:rPr>
                <w:rFonts w:hint="eastAsia"/>
                <w:color w:val="auto"/>
                <w:highlight w:val="none"/>
              </w:rPr>
              <w:t>电子投标文件的制作，参考《全国公共资源交易平台（河南省</w:t>
            </w:r>
            <w:r>
              <w:rPr>
                <w:color w:val="auto"/>
                <w:highlight w:val="none"/>
              </w:rPr>
              <w:t>▪</w:t>
            </w:r>
            <w:r>
              <w:rPr>
                <w:rFonts w:hint="eastAsia"/>
                <w:color w:val="auto"/>
                <w:highlight w:val="none"/>
              </w:rPr>
              <w:t>平顶山市）》公共资源交易系统——组件下载——交易系统操作手册（投标人、供应商）。</w:t>
            </w:r>
          </w:p>
          <w:p w14:paraId="208C2FE0">
            <w:pPr>
              <w:shd w:val="clear" w:color="auto" w:fill="FFFFFF"/>
              <w:spacing w:line="450" w:lineRule="atLeast"/>
              <w:ind w:firstLine="600"/>
              <w:rPr>
                <w:rFonts w:hint="eastAsia"/>
                <w:color w:val="auto"/>
                <w:highlight w:val="none"/>
              </w:rPr>
            </w:pPr>
            <w:r>
              <w:rPr>
                <w:rFonts w:hint="eastAsia"/>
                <w:color w:val="auto"/>
                <w:highlight w:val="none"/>
              </w:rPr>
              <w:t>4.2投标人须将招标文件要求的资质、业绩、荣誉及相关人员证明材料等资料原件扫描件（或图片）制作到所提交的电子投标文件中。</w:t>
            </w:r>
          </w:p>
          <w:p w14:paraId="4955490A">
            <w:pPr>
              <w:shd w:val="clear" w:color="auto" w:fill="FFFFFF"/>
              <w:spacing w:line="450" w:lineRule="atLeast"/>
              <w:ind w:firstLine="600"/>
              <w:rPr>
                <w:rFonts w:hint="eastAsia"/>
                <w:color w:val="auto"/>
                <w:highlight w:val="none"/>
              </w:rPr>
            </w:pPr>
            <w:r>
              <w:rPr>
                <w:rFonts w:hint="eastAsia"/>
                <w:color w:val="auto"/>
                <w:highlight w:val="none"/>
              </w:rPr>
              <w:t>4.3投标人对同一项目多个标包进行投标的，应分别下载所投标包的招标文件，按标包制作电子投标文件，并按招标文件要求在相应位置加盖投标人电子印章和法人电子印章。</w:t>
            </w:r>
          </w:p>
          <w:p w14:paraId="3CFFCCC0">
            <w:pPr>
              <w:shd w:val="clear" w:color="auto" w:fill="FFFFFF"/>
              <w:spacing w:line="450" w:lineRule="atLeast"/>
              <w:ind w:firstLine="600"/>
              <w:rPr>
                <w:rFonts w:hint="eastAsia"/>
                <w:color w:val="auto"/>
                <w:highlight w:val="none"/>
              </w:rPr>
            </w:pPr>
            <w:r>
              <w:rPr>
                <w:rFonts w:hint="eastAsia"/>
                <w:color w:val="auto"/>
                <w:highlight w:val="none"/>
              </w:rPr>
              <w:t>一个标包对应生成一个文件夹（xxxx项目xx标包）， 其中包含2个文件和1个文件夹。后缀名为“.file”的文件用于电子投标使用。</w:t>
            </w:r>
          </w:p>
          <w:p w14:paraId="6E9D0B26">
            <w:pPr>
              <w:shd w:val="clear" w:color="auto" w:fill="FFFFFF"/>
              <w:spacing w:line="450" w:lineRule="atLeast"/>
              <w:ind w:firstLine="600"/>
              <w:rPr>
                <w:rFonts w:hint="eastAsia"/>
                <w:color w:val="auto"/>
                <w:highlight w:val="none"/>
              </w:rPr>
            </w:pPr>
            <w:r>
              <w:rPr>
                <w:rFonts w:hint="eastAsia"/>
                <w:color w:val="auto"/>
                <w:highlight w:val="none"/>
              </w:rPr>
              <w:t>5.加密电子投标文件的提交</w:t>
            </w:r>
          </w:p>
          <w:p w14:paraId="7B5FE48E">
            <w:pPr>
              <w:shd w:val="clear" w:color="auto" w:fill="FFFFFF"/>
              <w:spacing w:line="450" w:lineRule="atLeast"/>
              <w:ind w:firstLine="600"/>
              <w:rPr>
                <w:color w:val="auto"/>
                <w:highlight w:val="none"/>
              </w:rPr>
            </w:pPr>
            <w:r>
              <w:rPr>
                <w:color w:val="auto"/>
                <w:highlight w:val="none"/>
              </w:rPr>
              <w:t>5.1</w:t>
            </w:r>
            <w:r>
              <w:rPr>
                <w:rFonts w:hint="eastAsia"/>
                <w:color w:val="auto"/>
                <w:highlight w:val="none"/>
              </w:rPr>
              <w:t>加密电子投标文件应在招标文件规定的投标截止时间（开标时间）之前成功提交至《全国公共资源交易平台（河南省</w:t>
            </w:r>
            <w:r>
              <w:rPr>
                <w:color w:val="auto"/>
                <w:highlight w:val="none"/>
              </w:rPr>
              <w:t>▪</w:t>
            </w:r>
            <w:r>
              <w:rPr>
                <w:rFonts w:hint="eastAsia"/>
                <w:color w:val="auto"/>
                <w:highlight w:val="none"/>
              </w:rPr>
              <w:t>平顶山市）》公共资源交易系统。</w:t>
            </w:r>
          </w:p>
          <w:p w14:paraId="4BC610BA">
            <w:pPr>
              <w:shd w:val="clear" w:color="auto" w:fill="FFFFFF"/>
              <w:spacing w:line="450" w:lineRule="atLeast"/>
              <w:ind w:firstLine="600"/>
              <w:rPr>
                <w:rFonts w:hint="eastAsia"/>
                <w:color w:val="auto"/>
                <w:highlight w:val="none"/>
              </w:rPr>
            </w:pPr>
            <w:r>
              <w:rPr>
                <w:rFonts w:hint="eastAsia"/>
                <w:color w:val="auto"/>
                <w:highlight w:val="none"/>
              </w:rPr>
              <w:t>供应商应充分考虑并预留技术处理和上传数据所需时间。</w:t>
            </w:r>
          </w:p>
          <w:p w14:paraId="6B14CF82">
            <w:pPr>
              <w:shd w:val="clear" w:color="auto" w:fill="FFFFFF"/>
              <w:spacing w:line="450" w:lineRule="atLeast"/>
              <w:ind w:firstLine="600"/>
              <w:rPr>
                <w:rFonts w:hint="eastAsia"/>
                <w:color w:val="auto"/>
                <w:highlight w:val="none"/>
              </w:rPr>
            </w:pPr>
            <w:r>
              <w:rPr>
                <w:rFonts w:hint="eastAsia"/>
                <w:color w:val="auto"/>
                <w:highlight w:val="none"/>
              </w:rPr>
              <w:t>5.2供应商对同一项目多个标包进行投标的，加密电子投标文件应按标包分别提交。</w:t>
            </w:r>
          </w:p>
          <w:p w14:paraId="1E67C322">
            <w:pPr>
              <w:shd w:val="clear" w:color="auto" w:fill="FFFFFF"/>
              <w:spacing w:line="450" w:lineRule="atLeast"/>
              <w:jc w:val="center"/>
              <w:rPr>
                <w:rFonts w:hint="eastAsia"/>
                <w:b/>
                <w:color w:val="auto"/>
                <w:highlight w:val="none"/>
              </w:rPr>
            </w:pPr>
            <w:r>
              <w:rPr>
                <w:rFonts w:hint="eastAsia"/>
                <w:b/>
                <w:color w:val="auto"/>
                <w:highlight w:val="none"/>
              </w:rPr>
              <w:t>“不见面”开标注意事项</w:t>
            </w:r>
          </w:p>
          <w:p w14:paraId="29AA0058">
            <w:pPr>
              <w:shd w:val="clear" w:color="auto" w:fill="FFFFFF"/>
              <w:spacing w:line="450" w:lineRule="atLeast"/>
              <w:ind w:firstLine="600"/>
              <w:rPr>
                <w:rFonts w:hint="eastAsia"/>
                <w:color w:val="auto"/>
                <w:highlight w:val="none"/>
              </w:rPr>
            </w:pPr>
            <w:r>
              <w:rPr>
                <w:rFonts w:hint="eastAsia"/>
                <w:color w:val="auto"/>
                <w:highlight w:val="none"/>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286BCA59">
            <w:pPr>
              <w:shd w:val="clear" w:color="auto" w:fill="FFFFFF"/>
              <w:spacing w:line="450" w:lineRule="atLeast"/>
              <w:ind w:firstLine="600"/>
              <w:rPr>
                <w:rFonts w:hint="eastAsia"/>
                <w:color w:val="auto"/>
                <w:highlight w:val="none"/>
              </w:rPr>
            </w:pPr>
            <w:r>
              <w:rPr>
                <w:rFonts w:hint="eastAsia"/>
                <w:color w:val="auto"/>
                <w:highlight w:val="none"/>
              </w:rPr>
              <w:t>2、如出现投标人的电子投标文件无法解密的情况，投标人应及时联系招标人（代理机构）进行说明。投标文件解密异常，按以下步骤进行处理：</w:t>
            </w:r>
          </w:p>
          <w:p w14:paraId="32D24941">
            <w:pPr>
              <w:shd w:val="clear" w:color="auto" w:fill="FFFFFF"/>
              <w:spacing w:line="450" w:lineRule="atLeast"/>
              <w:ind w:firstLine="600"/>
              <w:rPr>
                <w:rFonts w:hint="eastAsia"/>
                <w:color w:val="auto"/>
                <w:highlight w:val="none"/>
              </w:rPr>
            </w:pPr>
            <w:r>
              <w:rPr>
                <w:rFonts w:hint="eastAsia"/>
                <w:color w:val="auto"/>
                <w:highlight w:val="none"/>
              </w:rPr>
              <w:t>（1）如果是投标文件自身问题导致投标文件无法解密的，该投标文件将不予接收、解密。</w:t>
            </w:r>
          </w:p>
          <w:p w14:paraId="42444FA5">
            <w:pPr>
              <w:shd w:val="clear" w:color="auto" w:fill="FFFFFF"/>
              <w:spacing w:line="450" w:lineRule="atLeast"/>
              <w:ind w:firstLine="600"/>
              <w:rPr>
                <w:rFonts w:hint="eastAsia"/>
                <w:color w:val="auto"/>
                <w:highlight w:val="none"/>
              </w:rPr>
            </w:pPr>
            <w:r>
              <w:rPr>
                <w:rFonts w:hint="eastAsia"/>
                <w:color w:val="auto"/>
                <w:highlight w:val="none"/>
              </w:rPr>
              <w:t>（2）如果是电子化交易系统问题造成投标文件无法解密的，将由技术人员进行排查处理。如短时间内问题无法解决的，将由招标人（代理机构）联系监督部门申请暂停开标，待问题解决后继续开标。</w:t>
            </w:r>
          </w:p>
          <w:p w14:paraId="1D172E9B">
            <w:pPr>
              <w:shd w:val="clear" w:color="auto" w:fill="FFFFFF"/>
              <w:spacing w:line="450" w:lineRule="atLeast"/>
              <w:ind w:firstLine="600"/>
              <w:rPr>
                <w:rFonts w:hint="eastAsia"/>
                <w:color w:val="auto"/>
                <w:highlight w:val="none"/>
              </w:rPr>
            </w:pPr>
            <w:r>
              <w:rPr>
                <w:rFonts w:hint="eastAsia"/>
                <w:color w:val="auto"/>
                <w:highlight w:val="none"/>
              </w:rPr>
              <w:t>3、所有投标文件解密完成后，由招标人（代理机构）操作，对开标结果进行公示。</w:t>
            </w:r>
          </w:p>
          <w:p w14:paraId="0A3F8E5E">
            <w:pPr>
              <w:shd w:val="clear" w:color="auto" w:fill="FFFFFF"/>
              <w:spacing w:line="450" w:lineRule="atLeast"/>
              <w:ind w:firstLine="600"/>
              <w:rPr>
                <w:rFonts w:hint="eastAsia"/>
                <w:color w:val="auto"/>
                <w:highlight w:val="none"/>
              </w:rPr>
            </w:pPr>
            <w:r>
              <w:rPr>
                <w:rFonts w:hint="eastAsia"/>
                <w:color w:val="auto"/>
                <w:highlight w:val="none"/>
              </w:rPr>
              <w:t>4、投标人应保证在开标期间电话、电脑、网络等能够正常使用，投标人因停电、电脑病毒、网络堵塞等原因，未在规定的解密时间内对投标文件进行解密的，其投标文件不予接收。</w:t>
            </w:r>
          </w:p>
          <w:p w14:paraId="376D789B">
            <w:pPr>
              <w:shd w:val="clear" w:color="auto" w:fill="FFFFFF"/>
              <w:spacing w:line="450" w:lineRule="atLeast"/>
              <w:ind w:firstLine="720"/>
              <w:rPr>
                <w:rFonts w:ascii="宋体" w:hAnsi="宋体"/>
                <w:b/>
                <w:color w:val="auto"/>
                <w:szCs w:val="21"/>
                <w:highlight w:val="none"/>
              </w:rPr>
            </w:pPr>
            <w:r>
              <w:rPr>
                <w:rFonts w:hint="eastAsia"/>
                <w:color w:val="auto"/>
                <w:highlight w:val="none"/>
              </w:rPr>
              <w:t>5、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tc>
      </w:tr>
    </w:tbl>
    <w:p w14:paraId="3B3071BD">
      <w:pPr>
        <w:rPr>
          <w:rFonts w:hint="eastAsia"/>
          <w:color w:val="000000"/>
          <w:highlight w:val="none"/>
        </w:rPr>
      </w:pPr>
      <w:bookmarkStart w:id="2" w:name="_Toc152045529"/>
      <w:bookmarkStart w:id="3" w:name="_Toc179632546"/>
      <w:bookmarkStart w:id="4" w:name="_Toc144974497"/>
      <w:bookmarkStart w:id="5" w:name="_Toc152042305"/>
      <w:bookmarkStart w:id="6" w:name="_Toc382903902"/>
      <w:bookmarkStart w:id="7" w:name="_Toc149833932"/>
      <w:bookmarkStart w:id="8" w:name="_Toc155799711"/>
    </w:p>
    <w:p w14:paraId="2A1796BF">
      <w:pPr>
        <w:rPr>
          <w:rFonts w:hint="eastAsia"/>
          <w:color w:val="000000"/>
          <w:highlight w:val="none"/>
        </w:rPr>
      </w:pPr>
    </w:p>
    <w:p w14:paraId="0E5FFD2E">
      <w:pPr>
        <w:jc w:val="center"/>
        <w:rPr>
          <w:rFonts w:hint="eastAsia" w:ascii="Calibri" w:hAnsi="Calibri"/>
          <w:b/>
          <w:color w:val="000000"/>
          <w:sz w:val="32"/>
          <w:szCs w:val="32"/>
          <w:highlight w:val="none"/>
        </w:rPr>
      </w:pPr>
      <w:r>
        <w:rPr>
          <w:rFonts w:hint="eastAsia" w:ascii="Calibri" w:hAnsi="Calibri"/>
          <w:b/>
          <w:color w:val="000000"/>
          <w:sz w:val="32"/>
          <w:szCs w:val="32"/>
          <w:highlight w:val="none"/>
        </w:rPr>
        <w:br w:type="page"/>
      </w:r>
      <w:r>
        <w:rPr>
          <w:rFonts w:hint="eastAsia" w:ascii="Calibri" w:hAnsi="Calibri"/>
          <w:b/>
          <w:color w:val="000000"/>
          <w:sz w:val="32"/>
          <w:szCs w:val="32"/>
          <w:highlight w:val="none"/>
        </w:rPr>
        <w:t>招标控制价明细</w:t>
      </w:r>
    </w:p>
    <w:p w14:paraId="128B4C19">
      <w:pPr>
        <w:rPr>
          <w:rFonts w:hint="eastAsia"/>
          <w:color w:val="000000"/>
          <w:highlight w:val="none"/>
        </w:rPr>
      </w:pPr>
    </w:p>
    <w:p w14:paraId="04C3FC34">
      <w:pPr>
        <w:rPr>
          <w:rFonts w:hint="eastAsia" w:ascii="Calibri" w:hAnsi="Calibri"/>
          <w:color w:val="000000"/>
          <w:szCs w:val="22"/>
          <w:highlight w:val="none"/>
        </w:rPr>
      </w:pPr>
      <w:r>
        <w:rPr>
          <w:rFonts w:hint="eastAsia" w:ascii="Calibri" w:hAnsi="Calibri"/>
          <w:color w:val="000000"/>
          <w:szCs w:val="22"/>
          <w:highlight w:val="none"/>
        </w:rPr>
        <w:t xml:space="preserve">                                                                 单位：元</w:t>
      </w:r>
    </w:p>
    <w:p w14:paraId="0A961131">
      <w:pPr>
        <w:rPr>
          <w:rFonts w:hint="eastAsia" w:ascii="Calibri" w:hAnsi="Calibri"/>
          <w:color w:val="000000"/>
          <w:szCs w:val="22"/>
          <w:highlight w:val="none"/>
        </w:rPr>
      </w:pPr>
    </w:p>
    <w:tbl>
      <w:tblPr>
        <w:tblStyle w:val="8"/>
        <w:tblpPr w:leftFromText="180" w:rightFromText="180" w:vertAnchor="text" w:horzAnchor="page" w:tblpX="813" w:tblpY="527"/>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236"/>
        <w:gridCol w:w="1125"/>
        <w:gridCol w:w="1140"/>
        <w:gridCol w:w="1125"/>
        <w:gridCol w:w="1065"/>
        <w:gridCol w:w="825"/>
        <w:gridCol w:w="450"/>
        <w:gridCol w:w="1095"/>
        <w:gridCol w:w="1080"/>
      </w:tblGrid>
      <w:tr w14:paraId="6DEE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9"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3A18B2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23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4037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单项工程名称</w:t>
            </w:r>
          </w:p>
        </w:tc>
        <w:tc>
          <w:tcPr>
            <w:tcW w:w="112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E1608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w:t>
            </w:r>
          </w:p>
        </w:tc>
        <w:tc>
          <w:tcPr>
            <w:tcW w:w="1140" w:type="dxa"/>
            <w:tcBorders>
              <w:top w:val="single" w:color="000000" w:sz="8" w:space="0"/>
              <w:left w:val="single" w:color="000000" w:sz="4" w:space="0"/>
              <w:bottom w:val="single" w:color="000000" w:sz="4" w:space="0"/>
              <w:right w:val="single" w:color="auto" w:sz="4" w:space="0"/>
            </w:tcBorders>
            <w:shd w:val="clear" w:color="FFFFFF" w:fill="FFFFFF"/>
            <w:noWrap w:val="0"/>
            <w:vAlign w:val="center"/>
          </w:tcPr>
          <w:p w14:paraId="75EBB9D1">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分部分项</w:t>
            </w:r>
          </w:p>
        </w:tc>
        <w:tc>
          <w:tcPr>
            <w:tcW w:w="2190"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FA707D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措施项目</w:t>
            </w:r>
          </w:p>
        </w:tc>
        <w:tc>
          <w:tcPr>
            <w:tcW w:w="127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96CAE98">
            <w:pPr>
              <w:keepNext w:val="0"/>
              <w:keepLines w:val="0"/>
              <w:widowControl/>
              <w:suppressLineNumbers w:val="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其他项目</w:t>
            </w:r>
          </w:p>
        </w:tc>
        <w:tc>
          <w:tcPr>
            <w:tcW w:w="1095" w:type="dxa"/>
            <w:vMerge w:val="restart"/>
            <w:tcBorders>
              <w:top w:val="single" w:color="000000" w:sz="8" w:space="0"/>
              <w:left w:val="single" w:color="auto" w:sz="4" w:space="0"/>
              <w:right w:val="single" w:color="000000" w:sz="4" w:space="0"/>
            </w:tcBorders>
            <w:shd w:val="clear" w:color="FFFFFF" w:fill="FFFFFF"/>
            <w:noWrap w:val="0"/>
            <w:vAlign w:val="center"/>
          </w:tcPr>
          <w:p w14:paraId="09227DB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规费</w:t>
            </w:r>
          </w:p>
        </w:tc>
        <w:tc>
          <w:tcPr>
            <w:tcW w:w="1080" w:type="dxa"/>
            <w:vMerge w:val="restart"/>
            <w:tcBorders>
              <w:top w:val="single" w:color="000000" w:sz="8" w:space="0"/>
              <w:left w:val="single" w:color="auto" w:sz="4" w:space="0"/>
              <w:right w:val="single" w:color="000000" w:sz="4" w:space="0"/>
            </w:tcBorders>
            <w:shd w:val="clear" w:color="FFFFFF" w:fill="FFFFFF"/>
            <w:noWrap w:val="0"/>
            <w:vAlign w:val="center"/>
          </w:tcPr>
          <w:p w14:paraId="5F095014">
            <w:pPr>
              <w:keepNext w:val="0"/>
              <w:keepLines w:val="0"/>
              <w:widowControl/>
              <w:suppressLineNumbers w:val="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增值税</w:t>
            </w:r>
          </w:p>
        </w:tc>
      </w:tr>
      <w:tr w14:paraId="1F9B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549"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B1F8FC1">
            <w:pPr>
              <w:jc w:val="center"/>
              <w:rPr>
                <w:rFonts w:hint="eastAsia" w:ascii="宋体" w:hAnsi="宋体" w:eastAsia="宋体" w:cs="宋体"/>
                <w:b/>
                <w:bCs/>
                <w:i w:val="0"/>
                <w:iCs w:val="0"/>
                <w:color w:val="000000"/>
                <w:sz w:val="18"/>
                <w:szCs w:val="18"/>
                <w:highlight w:val="none"/>
                <w:u w:val="none"/>
              </w:rPr>
            </w:pPr>
          </w:p>
        </w:tc>
        <w:tc>
          <w:tcPr>
            <w:tcW w:w="123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10DD189">
            <w:pPr>
              <w:jc w:val="center"/>
              <w:rPr>
                <w:rFonts w:hint="eastAsia" w:ascii="宋体" w:hAnsi="宋体" w:eastAsia="宋体" w:cs="宋体"/>
                <w:b/>
                <w:bCs/>
                <w:i w:val="0"/>
                <w:iCs w:val="0"/>
                <w:color w:val="000000"/>
                <w:sz w:val="18"/>
                <w:szCs w:val="18"/>
                <w:highlight w:val="none"/>
                <w:u w:val="none"/>
              </w:rPr>
            </w:pPr>
          </w:p>
        </w:tc>
        <w:tc>
          <w:tcPr>
            <w:tcW w:w="112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FBC904F">
            <w:pPr>
              <w:jc w:val="center"/>
              <w:rPr>
                <w:rFonts w:hint="eastAsia" w:ascii="宋体" w:hAnsi="宋体" w:eastAsia="宋体" w:cs="宋体"/>
                <w:b/>
                <w:bCs/>
                <w:i w:val="0"/>
                <w:iCs w:val="0"/>
                <w:color w:val="000000"/>
                <w:sz w:val="18"/>
                <w:szCs w:val="18"/>
                <w:highlight w:val="none"/>
                <w:u w:val="none"/>
              </w:rPr>
            </w:pPr>
          </w:p>
        </w:tc>
        <w:tc>
          <w:tcPr>
            <w:tcW w:w="1140" w:type="dxa"/>
            <w:tcBorders>
              <w:top w:val="single" w:color="000000" w:sz="4" w:space="0"/>
              <w:left w:val="single" w:color="000000" w:sz="4" w:space="0"/>
              <w:bottom w:val="single" w:color="000000" w:sz="4" w:space="0"/>
              <w:right w:val="single" w:color="auto" w:sz="4" w:space="0"/>
            </w:tcBorders>
            <w:shd w:val="clear" w:color="FFFFFF" w:fill="FFFFFF"/>
            <w:noWrap w:val="0"/>
            <w:vAlign w:val="center"/>
          </w:tcPr>
          <w:p w14:paraId="65C6A68A">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分部分项工程</w:t>
            </w:r>
          </w:p>
        </w:tc>
        <w:tc>
          <w:tcPr>
            <w:tcW w:w="112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92445F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措施项目</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530C86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其中安全文明施工费</w:t>
            </w:r>
          </w:p>
        </w:tc>
        <w:tc>
          <w:tcPr>
            <w:tcW w:w="825" w:type="dxa"/>
            <w:tcBorders>
              <w:top w:val="single" w:color="auto" w:sz="4" w:space="0"/>
              <w:left w:val="single" w:color="auto" w:sz="4" w:space="0"/>
              <w:bottom w:val="single" w:color="auto" w:sz="4" w:space="0"/>
              <w:right w:val="single" w:color="000000" w:sz="4" w:space="0"/>
            </w:tcBorders>
            <w:shd w:val="clear" w:color="FFFFFF" w:fill="FFFFFF"/>
            <w:noWrap w:val="0"/>
            <w:vAlign w:val="center"/>
          </w:tcPr>
          <w:p w14:paraId="32BF1A5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专业工程</w:t>
            </w:r>
          </w:p>
          <w:p w14:paraId="45C6000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暂估价</w:t>
            </w:r>
          </w:p>
        </w:tc>
        <w:tc>
          <w:tcPr>
            <w:tcW w:w="45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C60792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暂列</w:t>
            </w:r>
          </w:p>
          <w:p w14:paraId="1889685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金额</w:t>
            </w:r>
          </w:p>
        </w:tc>
        <w:tc>
          <w:tcPr>
            <w:tcW w:w="1095" w:type="dxa"/>
            <w:vMerge w:val="continue"/>
            <w:tcBorders>
              <w:left w:val="single" w:color="auto" w:sz="4" w:space="0"/>
              <w:bottom w:val="single" w:color="000000" w:sz="4" w:space="0"/>
              <w:right w:val="single" w:color="000000" w:sz="4" w:space="0"/>
            </w:tcBorders>
            <w:shd w:val="clear" w:color="FFFFFF" w:fill="FFFFFF"/>
            <w:noWrap w:val="0"/>
            <w:vAlign w:val="center"/>
          </w:tcPr>
          <w:p w14:paraId="34F9D1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c>
          <w:tcPr>
            <w:tcW w:w="1080" w:type="dxa"/>
            <w:vMerge w:val="continue"/>
            <w:tcBorders>
              <w:left w:val="single" w:color="auto" w:sz="4" w:space="0"/>
              <w:bottom w:val="single" w:color="000000" w:sz="4" w:space="0"/>
              <w:right w:val="single" w:color="000000" w:sz="4" w:space="0"/>
            </w:tcBorders>
            <w:shd w:val="clear" w:color="FFFFFF" w:fill="FFFFFF"/>
            <w:noWrap w:val="0"/>
            <w:vAlign w:val="center"/>
          </w:tcPr>
          <w:p w14:paraId="763BCF5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4897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3598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D492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马办家属院</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98B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285606.39</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DFD1F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242771.64</w:t>
            </w:r>
          </w:p>
        </w:tc>
        <w:tc>
          <w:tcPr>
            <w:tcW w:w="112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640497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10472.15</w:t>
            </w:r>
          </w:p>
        </w:tc>
        <w:tc>
          <w:tcPr>
            <w:tcW w:w="106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076F28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7185.63</w:t>
            </w:r>
          </w:p>
        </w:tc>
        <w:tc>
          <w:tcPr>
            <w:tcW w:w="825"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3ADA4EF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450"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7F873B0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109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723B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8780.42</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E5E77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23582.18</w:t>
            </w:r>
          </w:p>
        </w:tc>
      </w:tr>
      <w:tr w14:paraId="2213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12EC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E1C1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马庄商品楼</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A30673">
            <w:pPr>
              <w:keepNext w:val="0"/>
              <w:keepLines w:val="0"/>
              <w:widowControl/>
              <w:suppressLineNumbers w:val="0"/>
              <w:tabs>
                <w:tab w:val="left" w:pos="567"/>
              </w:tabs>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395796.67</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1FC86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336579.04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1EB0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14415.64</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2DE0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9883.61</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4CF1D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4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2580D3">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109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C251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12121.53</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6259D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32680.46</w:t>
            </w:r>
          </w:p>
        </w:tc>
      </w:tr>
      <w:tr w14:paraId="2AD3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09DA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793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轻工路小学楼</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A9A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465518.90</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DBC05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396742.65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BD3E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16489.77</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AA6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11323.37</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0E161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4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DEC87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109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8138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13849.14</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5E35A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38437.34</w:t>
            </w:r>
          </w:p>
        </w:tc>
      </w:tr>
      <w:tr w14:paraId="5091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FFFA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C8B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市农科院家属院、市一中家属院</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31F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1974743.57</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1D3B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1685164.81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A1B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68783.02</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AF5F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47307.14</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C0C76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4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097FC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109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1C97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57743.52</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EC754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163052.22</w:t>
            </w:r>
          </w:p>
        </w:tc>
      </w:tr>
      <w:tr w14:paraId="1F53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A743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50D9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铁南二粮库楼</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090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277930.62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A2AC2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237256.15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8AA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9633.42</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E0E2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6606.35</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56D0C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4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7F5E9A">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109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C571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8092.65</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72DA6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22948.4</w:t>
            </w:r>
          </w:p>
        </w:tc>
      </w:tr>
      <w:tr w14:paraId="3908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1EB6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2A9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消防队家属院</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55C9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687269.12</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43524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584542.97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D17A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24982.33</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5A1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17151.3</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F1874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4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58024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w:t>
            </w:r>
          </w:p>
        </w:tc>
        <w:tc>
          <w:tcPr>
            <w:tcW w:w="109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036F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20996.83</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BA658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56746.99</w:t>
            </w:r>
          </w:p>
        </w:tc>
      </w:tr>
      <w:tr w14:paraId="2190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7F42E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sz w:val="18"/>
                <w:szCs w:val="18"/>
                <w:highlight w:val="none"/>
                <w:u w:val="none"/>
                <w:lang w:val="en-US" w:eastAsia="zh-CN"/>
              </w:rPr>
              <w:t>7</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FE278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sz w:val="18"/>
                <w:szCs w:val="18"/>
                <w:highlight w:val="none"/>
                <w:u w:val="none"/>
                <w:lang w:val="en-US" w:eastAsia="zh-CN"/>
              </w:rPr>
              <w:t>合计</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79B60">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4086865.27</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C24AE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3483057.26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6781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144776.33</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C433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99457.4</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A20B6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57D8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3E1D8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121584.09</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1CCD1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337447.59</w:t>
            </w:r>
          </w:p>
        </w:tc>
      </w:tr>
    </w:tbl>
    <w:p w14:paraId="6F07BA5F">
      <w:pPr>
        <w:rPr>
          <w:rFonts w:hint="eastAsia" w:ascii="Calibri" w:hAnsi="Calibri"/>
          <w:color w:val="000000"/>
          <w:szCs w:val="22"/>
          <w:highlight w:val="none"/>
        </w:rPr>
      </w:pPr>
    </w:p>
    <w:p w14:paraId="79ED7B2E">
      <w:pPr>
        <w:rPr>
          <w:rFonts w:hint="eastAsia" w:ascii="Calibri" w:hAnsi="Calibri"/>
          <w:color w:val="000000"/>
          <w:szCs w:val="22"/>
          <w:highlight w:val="none"/>
        </w:rPr>
      </w:pPr>
    </w:p>
    <w:p w14:paraId="1D7544AA">
      <w:pPr>
        <w:keepNext/>
        <w:keepLines/>
        <w:spacing w:before="100" w:line="400" w:lineRule="exact"/>
        <w:outlineLvl w:val="1"/>
        <w:rPr>
          <w:rFonts w:eastAsia="黑体" w:cs="宋体"/>
          <w:color w:val="000000"/>
          <w:sz w:val="28"/>
          <w:szCs w:val="20"/>
          <w:highlight w:val="none"/>
        </w:rPr>
      </w:pPr>
      <w:r>
        <w:rPr>
          <w:rFonts w:eastAsia="黑体" w:cs="宋体"/>
          <w:color w:val="000000"/>
          <w:sz w:val="28"/>
          <w:szCs w:val="20"/>
          <w:highlight w:val="none"/>
        </w:rPr>
        <w:br w:type="page"/>
      </w:r>
      <w:r>
        <w:rPr>
          <w:rFonts w:eastAsia="黑体" w:cs="宋体"/>
          <w:color w:val="000000"/>
          <w:sz w:val="28"/>
          <w:szCs w:val="20"/>
          <w:highlight w:val="none"/>
        </w:rPr>
        <w:t>1</w:t>
      </w:r>
      <w:bookmarkEnd w:id="2"/>
      <w:bookmarkEnd w:id="3"/>
      <w:bookmarkEnd w:id="4"/>
      <w:bookmarkEnd w:id="5"/>
      <w:bookmarkEnd w:id="6"/>
      <w:r>
        <w:rPr>
          <w:rFonts w:eastAsia="黑体" w:cs="宋体"/>
          <w:color w:val="000000"/>
          <w:sz w:val="28"/>
          <w:szCs w:val="20"/>
          <w:highlight w:val="none"/>
        </w:rPr>
        <w:t xml:space="preserve">. </w:t>
      </w:r>
      <w:r>
        <w:rPr>
          <w:rFonts w:hint="eastAsia" w:eastAsia="黑体" w:cs="宋体"/>
          <w:color w:val="000000"/>
          <w:sz w:val="28"/>
          <w:szCs w:val="20"/>
          <w:highlight w:val="none"/>
        </w:rPr>
        <w:t>总则</w:t>
      </w:r>
      <w:bookmarkEnd w:id="7"/>
      <w:bookmarkEnd w:id="8"/>
    </w:p>
    <w:p w14:paraId="0C7FF11E">
      <w:pPr>
        <w:keepNext/>
        <w:keepLines/>
        <w:spacing w:line="400" w:lineRule="exact"/>
        <w:outlineLvl w:val="2"/>
        <w:rPr>
          <w:rFonts w:eastAsia="黑体" w:cs="宋体"/>
          <w:color w:val="000000"/>
          <w:sz w:val="24"/>
          <w:szCs w:val="20"/>
          <w:highlight w:val="none"/>
        </w:rPr>
      </w:pPr>
      <w:bookmarkStart w:id="9" w:name="_Toc152042306"/>
      <w:bookmarkStart w:id="10" w:name="_Toc179632547"/>
      <w:bookmarkStart w:id="11" w:name="_Toc144974498"/>
      <w:bookmarkStart w:id="12" w:name="_Toc152045530"/>
      <w:r>
        <w:rPr>
          <w:rFonts w:eastAsia="黑体" w:cs="宋体"/>
          <w:color w:val="000000"/>
          <w:sz w:val="24"/>
          <w:szCs w:val="20"/>
          <w:highlight w:val="none"/>
        </w:rPr>
        <w:t xml:space="preserve">1.1 </w:t>
      </w:r>
      <w:r>
        <w:rPr>
          <w:rFonts w:hint="eastAsia" w:eastAsia="黑体" w:cs="宋体"/>
          <w:color w:val="000000"/>
          <w:sz w:val="24"/>
          <w:szCs w:val="20"/>
          <w:highlight w:val="none"/>
        </w:rPr>
        <w:t>项目概况</w:t>
      </w:r>
      <w:bookmarkEnd w:id="9"/>
      <w:bookmarkEnd w:id="10"/>
      <w:bookmarkEnd w:id="11"/>
      <w:bookmarkEnd w:id="12"/>
    </w:p>
    <w:p w14:paraId="719C40B5">
      <w:pPr>
        <w:spacing w:line="400" w:lineRule="exact"/>
        <w:ind w:firstLine="420" w:firstLineChars="200"/>
        <w:rPr>
          <w:color w:val="000000"/>
          <w:highlight w:val="none"/>
        </w:rPr>
      </w:pPr>
      <w:r>
        <w:rPr>
          <w:color w:val="000000"/>
          <w:highlight w:val="none"/>
        </w:rPr>
        <w:t>1.1.1</w:t>
      </w:r>
      <w:r>
        <w:rPr>
          <w:rFonts w:hint="eastAsia"/>
          <w:color w:val="000000"/>
          <w:highlight w:val="none"/>
        </w:rPr>
        <w:t>根据《中华人民共和国招标投标法》等有关法律、法规和规章的规定，本招标项目已具备招标条件，现对本项目进行招标。</w:t>
      </w:r>
    </w:p>
    <w:p w14:paraId="2B8793AC">
      <w:pPr>
        <w:spacing w:line="400" w:lineRule="exact"/>
        <w:ind w:firstLine="420" w:firstLineChars="200"/>
        <w:rPr>
          <w:color w:val="000000"/>
          <w:highlight w:val="none"/>
        </w:rPr>
      </w:pPr>
      <w:r>
        <w:rPr>
          <w:color w:val="000000"/>
          <w:highlight w:val="none"/>
        </w:rPr>
        <w:t xml:space="preserve">1.1.2 </w:t>
      </w:r>
      <w:r>
        <w:rPr>
          <w:rFonts w:hint="eastAsia"/>
          <w:color w:val="000000"/>
          <w:highlight w:val="none"/>
        </w:rPr>
        <w:t>本招标项目招标人：见投标人须知前附表。</w:t>
      </w:r>
    </w:p>
    <w:p w14:paraId="44D35DA0">
      <w:pPr>
        <w:spacing w:line="400" w:lineRule="exact"/>
        <w:ind w:firstLine="420" w:firstLineChars="200"/>
        <w:rPr>
          <w:color w:val="000000"/>
          <w:highlight w:val="none"/>
        </w:rPr>
      </w:pPr>
      <w:r>
        <w:rPr>
          <w:color w:val="000000"/>
          <w:highlight w:val="none"/>
        </w:rPr>
        <w:t xml:space="preserve">1.1.3 </w:t>
      </w:r>
      <w:r>
        <w:rPr>
          <w:rFonts w:hint="eastAsia"/>
          <w:color w:val="000000"/>
          <w:highlight w:val="none"/>
        </w:rPr>
        <w:t>本招标项目招标代理机构：见投标人须知前附表。</w:t>
      </w:r>
    </w:p>
    <w:p w14:paraId="071634E3">
      <w:pPr>
        <w:spacing w:line="400" w:lineRule="exact"/>
        <w:ind w:firstLine="420" w:firstLineChars="200"/>
        <w:rPr>
          <w:color w:val="000000"/>
          <w:highlight w:val="none"/>
        </w:rPr>
      </w:pPr>
      <w:r>
        <w:rPr>
          <w:color w:val="000000"/>
          <w:highlight w:val="none"/>
        </w:rPr>
        <w:t xml:space="preserve">1.1.4 </w:t>
      </w:r>
      <w:r>
        <w:rPr>
          <w:rFonts w:hint="eastAsia"/>
          <w:color w:val="000000"/>
          <w:highlight w:val="none"/>
        </w:rPr>
        <w:t>本招标项目名称：见投标人须知前附表。</w:t>
      </w:r>
    </w:p>
    <w:p w14:paraId="1CAD3547">
      <w:pPr>
        <w:spacing w:line="400" w:lineRule="exact"/>
        <w:ind w:firstLine="420" w:firstLineChars="200"/>
        <w:rPr>
          <w:color w:val="000000"/>
          <w:highlight w:val="none"/>
        </w:rPr>
      </w:pPr>
      <w:r>
        <w:rPr>
          <w:color w:val="000000"/>
          <w:highlight w:val="none"/>
        </w:rPr>
        <w:t xml:space="preserve">1.1.5 </w:t>
      </w:r>
      <w:r>
        <w:rPr>
          <w:rFonts w:hint="eastAsia"/>
          <w:color w:val="000000"/>
          <w:highlight w:val="none"/>
        </w:rPr>
        <w:t>本项目建设地点：见投标人须知前附表。</w:t>
      </w:r>
    </w:p>
    <w:p w14:paraId="7879021C">
      <w:pPr>
        <w:keepNext/>
        <w:keepLines/>
        <w:spacing w:line="400" w:lineRule="exact"/>
        <w:outlineLvl w:val="2"/>
        <w:rPr>
          <w:rFonts w:eastAsia="黑体" w:cs="宋体"/>
          <w:color w:val="000000"/>
          <w:sz w:val="24"/>
          <w:szCs w:val="20"/>
          <w:highlight w:val="none"/>
        </w:rPr>
      </w:pPr>
      <w:bookmarkStart w:id="13" w:name="_Toc152045531"/>
      <w:bookmarkStart w:id="14" w:name="_Toc152042307"/>
      <w:bookmarkStart w:id="15" w:name="_Toc179632548"/>
      <w:bookmarkStart w:id="16" w:name="_Toc144974499"/>
      <w:r>
        <w:rPr>
          <w:rFonts w:eastAsia="黑体" w:cs="宋体"/>
          <w:color w:val="000000"/>
          <w:sz w:val="24"/>
          <w:szCs w:val="20"/>
          <w:highlight w:val="none"/>
        </w:rPr>
        <w:t xml:space="preserve">1.2 </w:t>
      </w:r>
      <w:r>
        <w:rPr>
          <w:rFonts w:hint="eastAsia" w:eastAsia="黑体" w:cs="宋体"/>
          <w:color w:val="000000"/>
          <w:sz w:val="24"/>
          <w:szCs w:val="20"/>
          <w:highlight w:val="none"/>
        </w:rPr>
        <w:t>资金来源和落实情况</w:t>
      </w:r>
      <w:bookmarkEnd w:id="13"/>
      <w:bookmarkEnd w:id="14"/>
      <w:bookmarkEnd w:id="15"/>
      <w:bookmarkEnd w:id="16"/>
    </w:p>
    <w:p w14:paraId="3716D180">
      <w:pPr>
        <w:spacing w:line="400" w:lineRule="exact"/>
        <w:ind w:firstLine="420" w:firstLineChars="200"/>
        <w:rPr>
          <w:color w:val="000000"/>
          <w:highlight w:val="none"/>
        </w:rPr>
      </w:pPr>
      <w:r>
        <w:rPr>
          <w:color w:val="000000"/>
          <w:highlight w:val="none"/>
        </w:rPr>
        <w:t xml:space="preserve">1.2.1 </w:t>
      </w:r>
      <w:r>
        <w:rPr>
          <w:rFonts w:hint="eastAsia"/>
          <w:color w:val="000000"/>
          <w:highlight w:val="none"/>
        </w:rPr>
        <w:t>本招标项目的资金来源：见投标人须知前附表。</w:t>
      </w:r>
    </w:p>
    <w:p w14:paraId="67D1EF64">
      <w:pPr>
        <w:spacing w:line="400" w:lineRule="exact"/>
        <w:ind w:firstLine="420" w:firstLineChars="200"/>
        <w:rPr>
          <w:color w:val="000000"/>
          <w:highlight w:val="none"/>
        </w:rPr>
      </w:pPr>
      <w:r>
        <w:rPr>
          <w:color w:val="000000"/>
          <w:highlight w:val="none"/>
        </w:rPr>
        <w:t xml:space="preserve">1.2.2 </w:t>
      </w:r>
      <w:r>
        <w:rPr>
          <w:rFonts w:hint="eastAsia"/>
          <w:color w:val="000000"/>
          <w:highlight w:val="none"/>
        </w:rPr>
        <w:t>本招标项目的出资比例：见投标人须知前附表。</w:t>
      </w:r>
    </w:p>
    <w:p w14:paraId="3F2C058F">
      <w:pPr>
        <w:spacing w:line="400" w:lineRule="exact"/>
        <w:ind w:firstLine="420" w:firstLineChars="200"/>
        <w:rPr>
          <w:color w:val="000000"/>
          <w:highlight w:val="none"/>
        </w:rPr>
      </w:pPr>
      <w:r>
        <w:rPr>
          <w:color w:val="000000"/>
          <w:highlight w:val="none"/>
        </w:rPr>
        <w:t xml:space="preserve">1.2.3 </w:t>
      </w:r>
      <w:r>
        <w:rPr>
          <w:rFonts w:hint="eastAsia"/>
          <w:color w:val="000000"/>
          <w:highlight w:val="none"/>
        </w:rPr>
        <w:t>本招标项目的资金落实情况：见投标人须知前附表。</w:t>
      </w:r>
    </w:p>
    <w:p w14:paraId="08E49095">
      <w:pPr>
        <w:keepNext/>
        <w:keepLines/>
        <w:spacing w:line="400" w:lineRule="exact"/>
        <w:outlineLvl w:val="2"/>
        <w:rPr>
          <w:rFonts w:eastAsia="黑体" w:cs="宋体"/>
          <w:color w:val="000000"/>
          <w:sz w:val="24"/>
          <w:szCs w:val="20"/>
          <w:highlight w:val="none"/>
        </w:rPr>
      </w:pPr>
      <w:bookmarkStart w:id="17" w:name="_Toc179632549"/>
      <w:bookmarkStart w:id="18" w:name="_Toc144974500"/>
      <w:bookmarkStart w:id="19" w:name="_Toc152045532"/>
      <w:bookmarkStart w:id="20" w:name="_Toc152042308"/>
      <w:r>
        <w:rPr>
          <w:rFonts w:eastAsia="黑体" w:cs="宋体"/>
          <w:color w:val="000000"/>
          <w:sz w:val="24"/>
          <w:szCs w:val="20"/>
          <w:highlight w:val="none"/>
        </w:rPr>
        <w:t xml:space="preserve">1.3 </w:t>
      </w:r>
      <w:r>
        <w:rPr>
          <w:rFonts w:hint="eastAsia" w:eastAsia="黑体" w:cs="宋体"/>
          <w:color w:val="000000"/>
          <w:sz w:val="24"/>
          <w:szCs w:val="20"/>
          <w:highlight w:val="none"/>
        </w:rPr>
        <w:t>招标范围、计划工期和质量标准</w:t>
      </w:r>
      <w:bookmarkEnd w:id="17"/>
      <w:bookmarkEnd w:id="18"/>
      <w:bookmarkEnd w:id="19"/>
      <w:bookmarkEnd w:id="20"/>
    </w:p>
    <w:p w14:paraId="67E51368">
      <w:pPr>
        <w:spacing w:line="400" w:lineRule="exact"/>
        <w:ind w:firstLine="420" w:firstLineChars="200"/>
        <w:rPr>
          <w:color w:val="000000"/>
          <w:highlight w:val="none"/>
        </w:rPr>
      </w:pPr>
      <w:r>
        <w:rPr>
          <w:color w:val="000000"/>
          <w:highlight w:val="none"/>
        </w:rPr>
        <w:t xml:space="preserve">1.3.1 </w:t>
      </w:r>
      <w:r>
        <w:rPr>
          <w:rFonts w:hint="eastAsia"/>
          <w:color w:val="000000"/>
          <w:highlight w:val="none"/>
        </w:rPr>
        <w:t>本次招标范围：见投标人须知前附表。</w:t>
      </w:r>
    </w:p>
    <w:p w14:paraId="202842F2">
      <w:pPr>
        <w:spacing w:line="400" w:lineRule="exact"/>
        <w:ind w:firstLine="420" w:firstLineChars="200"/>
        <w:rPr>
          <w:color w:val="000000"/>
          <w:highlight w:val="none"/>
        </w:rPr>
      </w:pPr>
      <w:r>
        <w:rPr>
          <w:color w:val="000000"/>
          <w:highlight w:val="none"/>
        </w:rPr>
        <w:t xml:space="preserve">1.3.2 </w:t>
      </w:r>
      <w:r>
        <w:rPr>
          <w:rFonts w:hint="eastAsia"/>
          <w:color w:val="000000"/>
          <w:highlight w:val="none"/>
        </w:rPr>
        <w:t>本项目的计划工期：见投标人须知前附表。</w:t>
      </w:r>
    </w:p>
    <w:p w14:paraId="2FC33C53">
      <w:pPr>
        <w:spacing w:line="400" w:lineRule="exact"/>
        <w:ind w:firstLine="420" w:firstLineChars="200"/>
        <w:rPr>
          <w:color w:val="000000"/>
          <w:highlight w:val="none"/>
        </w:rPr>
      </w:pPr>
      <w:r>
        <w:rPr>
          <w:color w:val="000000"/>
          <w:highlight w:val="none"/>
        </w:rPr>
        <w:t xml:space="preserve">1.3.3 </w:t>
      </w:r>
      <w:r>
        <w:rPr>
          <w:rFonts w:hint="eastAsia"/>
          <w:color w:val="000000"/>
          <w:highlight w:val="none"/>
        </w:rPr>
        <w:t>本项目的质量标准：见投标人须知前附表。</w:t>
      </w:r>
    </w:p>
    <w:p w14:paraId="5EB69E49">
      <w:pPr>
        <w:keepNext/>
        <w:keepLines/>
        <w:spacing w:line="400" w:lineRule="exact"/>
        <w:outlineLvl w:val="2"/>
        <w:rPr>
          <w:rFonts w:eastAsia="黑体" w:cs="宋体"/>
          <w:color w:val="000000"/>
          <w:sz w:val="24"/>
          <w:szCs w:val="20"/>
          <w:highlight w:val="none"/>
        </w:rPr>
      </w:pPr>
      <w:bookmarkStart w:id="21" w:name="_Toc179632551"/>
      <w:bookmarkStart w:id="22" w:name="_Toc152045534"/>
      <w:bookmarkStart w:id="23" w:name="_Toc144974502"/>
      <w:bookmarkStart w:id="24" w:name="_Toc152042310"/>
      <w:r>
        <w:rPr>
          <w:rFonts w:eastAsia="黑体" w:cs="宋体"/>
          <w:color w:val="000000"/>
          <w:sz w:val="24"/>
          <w:szCs w:val="20"/>
          <w:highlight w:val="none"/>
        </w:rPr>
        <w:t xml:space="preserve">1.4 </w:t>
      </w:r>
      <w:r>
        <w:rPr>
          <w:rFonts w:hint="eastAsia" w:eastAsia="黑体" w:cs="宋体"/>
          <w:color w:val="000000"/>
          <w:sz w:val="24"/>
          <w:szCs w:val="20"/>
          <w:highlight w:val="none"/>
        </w:rPr>
        <w:t>投标人资格要求</w:t>
      </w:r>
      <w:bookmarkEnd w:id="21"/>
      <w:bookmarkEnd w:id="22"/>
      <w:bookmarkEnd w:id="23"/>
      <w:bookmarkEnd w:id="24"/>
    </w:p>
    <w:p w14:paraId="645F224C">
      <w:pPr>
        <w:spacing w:line="400" w:lineRule="exact"/>
        <w:ind w:firstLine="420" w:firstLineChars="200"/>
        <w:rPr>
          <w:color w:val="000000"/>
          <w:highlight w:val="none"/>
        </w:rPr>
      </w:pPr>
      <w:r>
        <w:rPr>
          <w:color w:val="000000"/>
          <w:highlight w:val="none"/>
        </w:rPr>
        <w:t>1.4.1</w:t>
      </w:r>
      <w:r>
        <w:rPr>
          <w:rFonts w:hint="eastAsia"/>
          <w:color w:val="000000"/>
          <w:highlight w:val="none"/>
        </w:rPr>
        <w:t>投标人应具备承担本项目施工的资质条件、能力和信誉。</w:t>
      </w:r>
    </w:p>
    <w:p w14:paraId="7BF9AD72">
      <w:pPr>
        <w:spacing w:line="400" w:lineRule="exact"/>
        <w:ind w:firstLine="718" w:firstLineChars="342"/>
        <w:rPr>
          <w:color w:val="000000"/>
          <w:highlight w:val="none"/>
        </w:rPr>
      </w:pPr>
      <w:r>
        <w:rPr>
          <w:rFonts w:hint="eastAsia"/>
          <w:color w:val="000000"/>
          <w:highlight w:val="none"/>
        </w:rPr>
        <w:t>（</w:t>
      </w:r>
      <w:r>
        <w:rPr>
          <w:color w:val="000000"/>
          <w:highlight w:val="none"/>
        </w:rPr>
        <w:t>1</w:t>
      </w:r>
      <w:r>
        <w:rPr>
          <w:rFonts w:hint="eastAsia"/>
          <w:color w:val="000000"/>
          <w:highlight w:val="none"/>
        </w:rPr>
        <w:t>）资质条件：见投标人须知前附表；</w:t>
      </w:r>
    </w:p>
    <w:p w14:paraId="3B30C092">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）财务要求：见投标人须知前附表；</w:t>
      </w:r>
    </w:p>
    <w:p w14:paraId="2D7CBEEA">
      <w:pPr>
        <w:spacing w:line="400" w:lineRule="exact"/>
        <w:ind w:firstLine="718" w:firstLineChars="342"/>
        <w:rPr>
          <w:color w:val="000000"/>
          <w:highlight w:val="none"/>
        </w:rPr>
      </w:pPr>
      <w:r>
        <w:rPr>
          <w:rFonts w:hint="eastAsia"/>
          <w:color w:val="000000"/>
          <w:highlight w:val="none"/>
        </w:rPr>
        <w:t>（</w:t>
      </w:r>
      <w:r>
        <w:rPr>
          <w:color w:val="000000"/>
          <w:highlight w:val="none"/>
        </w:rPr>
        <w:t>3</w:t>
      </w:r>
      <w:r>
        <w:rPr>
          <w:rFonts w:hint="eastAsia"/>
          <w:color w:val="000000"/>
          <w:highlight w:val="none"/>
        </w:rPr>
        <w:t>）业绩要求：见投标人须知前附表；</w:t>
      </w:r>
    </w:p>
    <w:p w14:paraId="6F83679F">
      <w:pPr>
        <w:spacing w:line="400" w:lineRule="exact"/>
        <w:ind w:firstLine="718" w:firstLineChars="342"/>
        <w:rPr>
          <w:color w:val="000000"/>
          <w:highlight w:val="none"/>
        </w:rPr>
      </w:pPr>
      <w:r>
        <w:rPr>
          <w:rFonts w:hint="eastAsia"/>
          <w:color w:val="000000"/>
          <w:highlight w:val="none"/>
        </w:rPr>
        <w:t>（</w:t>
      </w:r>
      <w:r>
        <w:rPr>
          <w:color w:val="000000"/>
          <w:highlight w:val="none"/>
        </w:rPr>
        <w:t>4</w:t>
      </w:r>
      <w:r>
        <w:rPr>
          <w:rFonts w:hint="eastAsia"/>
          <w:color w:val="000000"/>
          <w:highlight w:val="none"/>
        </w:rPr>
        <w:t>）信誉要求：见投标人须知前附表</w:t>
      </w:r>
      <w:r>
        <w:rPr>
          <w:color w:val="000000"/>
          <w:highlight w:val="none"/>
        </w:rPr>
        <w:t>;</w:t>
      </w:r>
    </w:p>
    <w:p w14:paraId="707A4909">
      <w:pPr>
        <w:spacing w:line="400" w:lineRule="exact"/>
        <w:ind w:firstLine="735" w:firstLineChars="350"/>
        <w:rPr>
          <w:color w:val="000000"/>
          <w:highlight w:val="none"/>
        </w:rPr>
      </w:pPr>
      <w:r>
        <w:rPr>
          <w:rFonts w:hint="eastAsia"/>
          <w:color w:val="000000"/>
          <w:highlight w:val="none"/>
        </w:rPr>
        <w:t>（</w:t>
      </w:r>
      <w:r>
        <w:rPr>
          <w:color w:val="000000"/>
          <w:highlight w:val="none"/>
        </w:rPr>
        <w:t>5</w:t>
      </w:r>
      <w:r>
        <w:rPr>
          <w:rFonts w:hint="eastAsia"/>
          <w:color w:val="000000"/>
          <w:highlight w:val="none"/>
        </w:rPr>
        <w:t>）项目经理资格：见投标人须知前附表；</w:t>
      </w:r>
    </w:p>
    <w:p w14:paraId="5207EABC">
      <w:pPr>
        <w:spacing w:line="400" w:lineRule="exact"/>
        <w:ind w:firstLine="735" w:firstLineChars="350"/>
        <w:rPr>
          <w:color w:val="000000"/>
          <w:highlight w:val="none"/>
        </w:rPr>
      </w:pPr>
      <w:r>
        <w:rPr>
          <w:rFonts w:hint="eastAsia"/>
          <w:color w:val="000000"/>
          <w:highlight w:val="none"/>
        </w:rPr>
        <w:t>（</w:t>
      </w:r>
      <w:r>
        <w:rPr>
          <w:color w:val="000000"/>
          <w:highlight w:val="none"/>
        </w:rPr>
        <w:t>6</w:t>
      </w:r>
      <w:r>
        <w:rPr>
          <w:rFonts w:hint="eastAsia"/>
          <w:color w:val="000000"/>
          <w:highlight w:val="none"/>
        </w:rPr>
        <w:t>）其他要求：见投标人须知前附表。</w:t>
      </w:r>
    </w:p>
    <w:p w14:paraId="6C9C6B51">
      <w:pPr>
        <w:spacing w:line="400" w:lineRule="exact"/>
        <w:ind w:firstLine="420" w:firstLineChars="200"/>
        <w:rPr>
          <w:color w:val="000000"/>
          <w:highlight w:val="none"/>
        </w:rPr>
      </w:pPr>
      <w:r>
        <w:rPr>
          <w:color w:val="000000"/>
          <w:highlight w:val="none"/>
        </w:rPr>
        <w:t xml:space="preserve">1.4.2 </w:t>
      </w:r>
      <w:r>
        <w:rPr>
          <w:rFonts w:hint="eastAsia"/>
          <w:color w:val="000000"/>
          <w:highlight w:val="none"/>
        </w:rPr>
        <w:t>投标人须知前附表规定接受联合体投标的，除应符合本章第</w:t>
      </w:r>
      <w:r>
        <w:rPr>
          <w:color w:val="000000"/>
          <w:highlight w:val="none"/>
        </w:rPr>
        <w:t>1.4.1</w:t>
      </w:r>
      <w:r>
        <w:rPr>
          <w:rFonts w:hint="eastAsia"/>
          <w:color w:val="000000"/>
          <w:highlight w:val="none"/>
        </w:rPr>
        <w:t>项和投标人须知前附表的要求外，还应遵守以下规定：</w:t>
      </w:r>
      <w:r>
        <w:rPr>
          <w:color w:val="000000"/>
          <w:highlight w:val="none"/>
        </w:rPr>
        <w:t xml:space="preserve"> </w:t>
      </w:r>
    </w:p>
    <w:p w14:paraId="1088683F">
      <w:pPr>
        <w:spacing w:line="400" w:lineRule="exact"/>
        <w:ind w:firstLine="718" w:firstLineChars="342"/>
        <w:rPr>
          <w:color w:val="000000"/>
          <w:highlight w:val="none"/>
        </w:rPr>
      </w:pPr>
      <w:r>
        <w:rPr>
          <w:rFonts w:hint="eastAsia"/>
          <w:color w:val="000000"/>
          <w:highlight w:val="none"/>
        </w:rPr>
        <w:t>（</w:t>
      </w:r>
      <w:r>
        <w:rPr>
          <w:color w:val="000000"/>
          <w:highlight w:val="none"/>
        </w:rPr>
        <w:t>1</w:t>
      </w:r>
      <w:r>
        <w:rPr>
          <w:rFonts w:hint="eastAsia"/>
          <w:color w:val="000000"/>
          <w:highlight w:val="none"/>
        </w:rPr>
        <w:t>）联合体各方应按招标文件提供的格式签订联合体协议书，明确联合体牵头人和各方权利义务；</w:t>
      </w:r>
    </w:p>
    <w:p w14:paraId="24C59A7B">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）由同一专业的单位组成的联合体，按照资质等级较低的单位确定资质等级；</w:t>
      </w:r>
      <w:r>
        <w:rPr>
          <w:color w:val="000000"/>
          <w:highlight w:val="none"/>
        </w:rPr>
        <w:t xml:space="preserve"> </w:t>
      </w:r>
    </w:p>
    <w:p w14:paraId="454A1FE4">
      <w:pPr>
        <w:spacing w:line="400" w:lineRule="exact"/>
        <w:ind w:firstLine="718" w:firstLineChars="342"/>
        <w:rPr>
          <w:color w:val="000000"/>
          <w:highlight w:val="none"/>
        </w:rPr>
      </w:pPr>
      <w:r>
        <w:rPr>
          <w:rFonts w:hint="eastAsia"/>
          <w:color w:val="000000"/>
          <w:highlight w:val="none"/>
        </w:rPr>
        <w:t>（</w:t>
      </w:r>
      <w:r>
        <w:rPr>
          <w:color w:val="000000"/>
          <w:highlight w:val="none"/>
        </w:rPr>
        <w:t>3</w:t>
      </w:r>
      <w:r>
        <w:rPr>
          <w:rFonts w:hint="eastAsia"/>
          <w:color w:val="000000"/>
          <w:highlight w:val="none"/>
        </w:rPr>
        <w:t>）联合体各方不得再以自己名义单独或参加其他联合体在同一标段中投标。</w:t>
      </w:r>
    </w:p>
    <w:p w14:paraId="044B3270">
      <w:pPr>
        <w:spacing w:line="400" w:lineRule="exact"/>
        <w:ind w:firstLine="420" w:firstLineChars="200"/>
        <w:rPr>
          <w:color w:val="000000"/>
          <w:highlight w:val="none"/>
        </w:rPr>
      </w:pPr>
      <w:r>
        <w:rPr>
          <w:color w:val="000000"/>
          <w:highlight w:val="none"/>
        </w:rPr>
        <w:t xml:space="preserve">1.4.3 </w:t>
      </w:r>
      <w:r>
        <w:rPr>
          <w:rFonts w:hint="eastAsia"/>
          <w:color w:val="000000"/>
          <w:highlight w:val="none"/>
        </w:rPr>
        <w:t>投标人不得存在下列情形之一：</w:t>
      </w:r>
    </w:p>
    <w:p w14:paraId="6CE715D2">
      <w:pPr>
        <w:spacing w:line="400" w:lineRule="exact"/>
        <w:ind w:firstLine="718" w:firstLineChars="342"/>
        <w:rPr>
          <w:color w:val="000000"/>
          <w:highlight w:val="none"/>
        </w:rPr>
      </w:pPr>
      <w:r>
        <w:rPr>
          <w:rFonts w:hint="eastAsia"/>
          <w:color w:val="000000"/>
          <w:highlight w:val="none"/>
        </w:rPr>
        <w:t>（</w:t>
      </w:r>
      <w:r>
        <w:rPr>
          <w:color w:val="000000"/>
          <w:highlight w:val="none"/>
        </w:rPr>
        <w:t>1</w:t>
      </w:r>
      <w:r>
        <w:rPr>
          <w:rFonts w:hint="eastAsia"/>
          <w:color w:val="000000"/>
          <w:highlight w:val="none"/>
        </w:rPr>
        <w:t>）为招标人不具有独立法人资格的附属机构（单位）；</w:t>
      </w:r>
      <w:r>
        <w:rPr>
          <w:color w:val="000000"/>
          <w:highlight w:val="none"/>
        </w:rPr>
        <w:t xml:space="preserve"> </w:t>
      </w:r>
    </w:p>
    <w:p w14:paraId="6F55845E">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）为本项目前期准备提供设计或咨询服务的，但设计施工总承包的除外；</w:t>
      </w:r>
      <w:r>
        <w:rPr>
          <w:color w:val="000000"/>
          <w:highlight w:val="none"/>
        </w:rPr>
        <w:t xml:space="preserve"> </w:t>
      </w:r>
    </w:p>
    <w:p w14:paraId="3F687C29">
      <w:pPr>
        <w:spacing w:line="400" w:lineRule="exact"/>
        <w:ind w:firstLine="718" w:firstLineChars="342"/>
        <w:rPr>
          <w:color w:val="000000"/>
          <w:highlight w:val="none"/>
        </w:rPr>
      </w:pPr>
      <w:r>
        <w:rPr>
          <w:rFonts w:hint="eastAsia"/>
          <w:color w:val="000000"/>
          <w:highlight w:val="none"/>
        </w:rPr>
        <w:t>（</w:t>
      </w:r>
      <w:r>
        <w:rPr>
          <w:color w:val="000000"/>
          <w:highlight w:val="none"/>
        </w:rPr>
        <w:t>3</w:t>
      </w:r>
      <w:r>
        <w:rPr>
          <w:rFonts w:hint="eastAsia"/>
          <w:color w:val="000000"/>
          <w:highlight w:val="none"/>
        </w:rPr>
        <w:t>）为本项目的监理人；</w:t>
      </w:r>
    </w:p>
    <w:p w14:paraId="2C024461">
      <w:pPr>
        <w:spacing w:line="400" w:lineRule="exact"/>
        <w:ind w:firstLine="718" w:firstLineChars="342"/>
        <w:rPr>
          <w:color w:val="000000"/>
          <w:highlight w:val="none"/>
        </w:rPr>
      </w:pPr>
      <w:r>
        <w:rPr>
          <w:rFonts w:hint="eastAsia"/>
          <w:color w:val="000000"/>
          <w:highlight w:val="none"/>
        </w:rPr>
        <w:t>（</w:t>
      </w:r>
      <w:r>
        <w:rPr>
          <w:color w:val="000000"/>
          <w:highlight w:val="none"/>
        </w:rPr>
        <w:t>4</w:t>
      </w:r>
      <w:r>
        <w:rPr>
          <w:rFonts w:hint="eastAsia"/>
          <w:color w:val="000000"/>
          <w:highlight w:val="none"/>
        </w:rPr>
        <w:t>）为本项目的代建人；</w:t>
      </w:r>
      <w:r>
        <w:rPr>
          <w:color w:val="000000"/>
          <w:highlight w:val="none"/>
        </w:rPr>
        <w:t xml:space="preserve"> </w:t>
      </w:r>
    </w:p>
    <w:p w14:paraId="10BE96AC">
      <w:pPr>
        <w:spacing w:line="400" w:lineRule="exact"/>
        <w:ind w:firstLine="718" w:firstLineChars="342"/>
        <w:rPr>
          <w:color w:val="000000"/>
          <w:highlight w:val="none"/>
        </w:rPr>
      </w:pPr>
      <w:r>
        <w:rPr>
          <w:rFonts w:hint="eastAsia"/>
          <w:color w:val="000000"/>
          <w:highlight w:val="none"/>
        </w:rPr>
        <w:t>（</w:t>
      </w:r>
      <w:r>
        <w:rPr>
          <w:color w:val="000000"/>
          <w:highlight w:val="none"/>
        </w:rPr>
        <w:t>5</w:t>
      </w:r>
      <w:r>
        <w:rPr>
          <w:rFonts w:hint="eastAsia"/>
          <w:color w:val="000000"/>
          <w:highlight w:val="none"/>
        </w:rPr>
        <w:t>）为本项目提供招标代理服务的；</w:t>
      </w:r>
      <w:r>
        <w:rPr>
          <w:color w:val="000000"/>
          <w:highlight w:val="none"/>
        </w:rPr>
        <w:t xml:space="preserve"> </w:t>
      </w:r>
    </w:p>
    <w:p w14:paraId="46325451">
      <w:pPr>
        <w:spacing w:line="400" w:lineRule="exact"/>
        <w:ind w:firstLine="718" w:firstLineChars="342"/>
        <w:rPr>
          <w:color w:val="000000"/>
          <w:highlight w:val="none"/>
        </w:rPr>
      </w:pPr>
      <w:r>
        <w:rPr>
          <w:rFonts w:hint="eastAsia"/>
          <w:color w:val="000000"/>
          <w:highlight w:val="none"/>
        </w:rPr>
        <w:t>（</w:t>
      </w:r>
      <w:r>
        <w:rPr>
          <w:color w:val="000000"/>
          <w:highlight w:val="none"/>
        </w:rPr>
        <w:t>6</w:t>
      </w:r>
      <w:r>
        <w:rPr>
          <w:rFonts w:hint="eastAsia"/>
          <w:color w:val="000000"/>
          <w:highlight w:val="none"/>
        </w:rPr>
        <w:t>）与本项目的监理人或代建人或招标代理机构同为一个法定代表人的；</w:t>
      </w:r>
    </w:p>
    <w:p w14:paraId="0B439F7E">
      <w:pPr>
        <w:spacing w:line="400" w:lineRule="exact"/>
        <w:ind w:firstLine="718" w:firstLineChars="342"/>
        <w:rPr>
          <w:color w:val="000000"/>
          <w:highlight w:val="none"/>
        </w:rPr>
      </w:pPr>
      <w:r>
        <w:rPr>
          <w:rFonts w:hint="eastAsia"/>
          <w:color w:val="000000"/>
          <w:highlight w:val="none"/>
        </w:rPr>
        <w:t>（</w:t>
      </w:r>
      <w:r>
        <w:rPr>
          <w:color w:val="000000"/>
          <w:highlight w:val="none"/>
        </w:rPr>
        <w:t>7</w:t>
      </w:r>
      <w:r>
        <w:rPr>
          <w:rFonts w:hint="eastAsia"/>
          <w:color w:val="000000"/>
          <w:highlight w:val="none"/>
        </w:rPr>
        <w:t>）与本项目的监理人或代建人或招标代理机构相互控股或参股的；</w:t>
      </w:r>
    </w:p>
    <w:p w14:paraId="49B6CC48">
      <w:pPr>
        <w:spacing w:line="400" w:lineRule="exact"/>
        <w:ind w:firstLine="718" w:firstLineChars="342"/>
        <w:rPr>
          <w:color w:val="000000"/>
          <w:highlight w:val="none"/>
        </w:rPr>
      </w:pPr>
      <w:r>
        <w:rPr>
          <w:rFonts w:hint="eastAsia"/>
          <w:color w:val="000000"/>
          <w:highlight w:val="none"/>
        </w:rPr>
        <w:t>（</w:t>
      </w:r>
      <w:r>
        <w:rPr>
          <w:color w:val="000000"/>
          <w:highlight w:val="none"/>
        </w:rPr>
        <w:t>8</w:t>
      </w:r>
      <w:r>
        <w:rPr>
          <w:rFonts w:hint="eastAsia"/>
          <w:color w:val="000000"/>
          <w:highlight w:val="none"/>
        </w:rPr>
        <w:t>）与本项目的监理人或代建人或招标代理机构相互任职或工作的；</w:t>
      </w:r>
    </w:p>
    <w:p w14:paraId="2828DC84">
      <w:pPr>
        <w:spacing w:line="400" w:lineRule="exact"/>
        <w:ind w:firstLine="718" w:firstLineChars="342"/>
        <w:rPr>
          <w:color w:val="000000"/>
          <w:highlight w:val="none"/>
        </w:rPr>
      </w:pPr>
      <w:r>
        <w:rPr>
          <w:rFonts w:hint="eastAsia"/>
          <w:color w:val="000000"/>
          <w:highlight w:val="none"/>
        </w:rPr>
        <w:t>（</w:t>
      </w:r>
      <w:r>
        <w:rPr>
          <w:color w:val="000000"/>
          <w:highlight w:val="none"/>
        </w:rPr>
        <w:t>9</w:t>
      </w:r>
      <w:r>
        <w:rPr>
          <w:rFonts w:hint="eastAsia"/>
          <w:color w:val="000000"/>
          <w:highlight w:val="none"/>
        </w:rPr>
        <w:t>）被责令停业的；</w:t>
      </w:r>
      <w:r>
        <w:rPr>
          <w:color w:val="000000"/>
          <w:highlight w:val="none"/>
        </w:rPr>
        <w:t xml:space="preserve"> </w:t>
      </w:r>
    </w:p>
    <w:p w14:paraId="790AE360">
      <w:pPr>
        <w:spacing w:line="400" w:lineRule="exact"/>
        <w:ind w:firstLine="718" w:firstLineChars="342"/>
        <w:rPr>
          <w:color w:val="000000"/>
          <w:highlight w:val="none"/>
        </w:rPr>
      </w:pPr>
      <w:r>
        <w:rPr>
          <w:rFonts w:hint="eastAsia"/>
          <w:color w:val="000000"/>
          <w:highlight w:val="none"/>
        </w:rPr>
        <w:t>（</w:t>
      </w:r>
      <w:r>
        <w:rPr>
          <w:color w:val="000000"/>
          <w:highlight w:val="none"/>
        </w:rPr>
        <w:t>10</w:t>
      </w:r>
      <w:r>
        <w:rPr>
          <w:rFonts w:hint="eastAsia"/>
          <w:color w:val="000000"/>
          <w:highlight w:val="none"/>
        </w:rPr>
        <w:t>）被暂停或取消投标资格的；</w:t>
      </w:r>
      <w:r>
        <w:rPr>
          <w:color w:val="000000"/>
          <w:highlight w:val="none"/>
        </w:rPr>
        <w:t xml:space="preserve"> </w:t>
      </w:r>
    </w:p>
    <w:p w14:paraId="1C5A7ADF">
      <w:pPr>
        <w:spacing w:line="400" w:lineRule="exact"/>
        <w:ind w:firstLine="718" w:firstLineChars="342"/>
        <w:rPr>
          <w:color w:val="000000"/>
          <w:highlight w:val="none"/>
        </w:rPr>
      </w:pPr>
      <w:r>
        <w:rPr>
          <w:rFonts w:hint="eastAsia"/>
          <w:color w:val="000000"/>
          <w:highlight w:val="none"/>
        </w:rPr>
        <w:t>（</w:t>
      </w:r>
      <w:r>
        <w:rPr>
          <w:color w:val="000000"/>
          <w:highlight w:val="none"/>
        </w:rPr>
        <w:t>11</w:t>
      </w:r>
      <w:r>
        <w:rPr>
          <w:rFonts w:hint="eastAsia"/>
          <w:color w:val="000000"/>
          <w:highlight w:val="none"/>
        </w:rPr>
        <w:t>）财产被接管或冻结的；</w:t>
      </w:r>
    </w:p>
    <w:p w14:paraId="1986C480">
      <w:pPr>
        <w:spacing w:line="400" w:lineRule="exact"/>
        <w:ind w:firstLine="718" w:firstLineChars="342"/>
        <w:rPr>
          <w:rFonts w:hint="eastAsia"/>
          <w:color w:val="000000"/>
          <w:highlight w:val="none"/>
        </w:rPr>
      </w:pPr>
      <w:r>
        <w:rPr>
          <w:rFonts w:hint="eastAsia"/>
          <w:color w:val="000000"/>
          <w:highlight w:val="none"/>
        </w:rPr>
        <w:t>（</w:t>
      </w:r>
      <w:r>
        <w:rPr>
          <w:color w:val="000000"/>
          <w:highlight w:val="none"/>
        </w:rPr>
        <w:t>12</w:t>
      </w:r>
      <w:r>
        <w:rPr>
          <w:rFonts w:hint="eastAsia"/>
          <w:color w:val="000000"/>
          <w:highlight w:val="none"/>
        </w:rPr>
        <w:t>）在最近三年内有骗取中标或严重违约或重大工程质量问题的。</w:t>
      </w:r>
    </w:p>
    <w:p w14:paraId="4BC94495">
      <w:pPr>
        <w:spacing w:line="400" w:lineRule="exact"/>
        <w:ind w:firstLine="718" w:firstLineChars="342"/>
        <w:rPr>
          <w:color w:val="000000"/>
          <w:highlight w:val="none"/>
        </w:rPr>
      </w:pPr>
      <w:r>
        <w:rPr>
          <w:rFonts w:hint="eastAsia"/>
          <w:color w:val="000000"/>
          <w:highlight w:val="none"/>
        </w:rPr>
        <w:t>（13）单位负责人为同一人或者存在控股、管理关系的不同单位，不得同时参加本招标项目投标。</w:t>
      </w:r>
    </w:p>
    <w:p w14:paraId="01C6C712">
      <w:pPr>
        <w:keepNext/>
        <w:keepLines/>
        <w:spacing w:line="400" w:lineRule="exact"/>
        <w:outlineLvl w:val="2"/>
        <w:rPr>
          <w:rFonts w:eastAsia="黑体" w:cs="宋体"/>
          <w:color w:val="000000"/>
          <w:sz w:val="24"/>
          <w:szCs w:val="20"/>
          <w:highlight w:val="none"/>
        </w:rPr>
      </w:pPr>
      <w:bookmarkStart w:id="25" w:name="_Toc144974503"/>
      <w:bookmarkStart w:id="26" w:name="_Toc179632552"/>
      <w:bookmarkStart w:id="27" w:name="_Toc152042311"/>
      <w:bookmarkStart w:id="28" w:name="_Toc152045535"/>
      <w:r>
        <w:rPr>
          <w:rFonts w:eastAsia="黑体" w:cs="宋体"/>
          <w:color w:val="000000"/>
          <w:sz w:val="24"/>
          <w:szCs w:val="20"/>
          <w:highlight w:val="none"/>
        </w:rPr>
        <w:t xml:space="preserve">1.5 </w:t>
      </w:r>
      <w:r>
        <w:rPr>
          <w:rFonts w:hint="eastAsia" w:eastAsia="黑体" w:cs="宋体"/>
          <w:color w:val="000000"/>
          <w:sz w:val="24"/>
          <w:szCs w:val="20"/>
          <w:highlight w:val="none"/>
        </w:rPr>
        <w:t>费用承担</w:t>
      </w:r>
      <w:bookmarkEnd w:id="25"/>
      <w:bookmarkEnd w:id="26"/>
      <w:bookmarkEnd w:id="27"/>
      <w:bookmarkEnd w:id="28"/>
    </w:p>
    <w:p w14:paraId="00960DBA">
      <w:pPr>
        <w:spacing w:line="400" w:lineRule="exact"/>
        <w:ind w:firstLine="420" w:firstLineChars="200"/>
        <w:rPr>
          <w:color w:val="000000"/>
          <w:highlight w:val="none"/>
        </w:rPr>
      </w:pPr>
      <w:r>
        <w:rPr>
          <w:rFonts w:hint="eastAsia"/>
          <w:color w:val="000000"/>
          <w:highlight w:val="none"/>
        </w:rPr>
        <w:t>投标人准备和参加投标活动发生的费用自理。</w:t>
      </w:r>
    </w:p>
    <w:p w14:paraId="486E424B">
      <w:pPr>
        <w:keepNext/>
        <w:keepLines/>
        <w:spacing w:line="400" w:lineRule="exact"/>
        <w:outlineLvl w:val="2"/>
        <w:rPr>
          <w:rFonts w:eastAsia="黑体" w:cs="宋体"/>
          <w:color w:val="000000"/>
          <w:sz w:val="24"/>
          <w:szCs w:val="20"/>
          <w:highlight w:val="none"/>
        </w:rPr>
      </w:pPr>
      <w:bookmarkStart w:id="29" w:name="_Toc179632553"/>
      <w:bookmarkStart w:id="30" w:name="_Toc152045536"/>
      <w:bookmarkStart w:id="31" w:name="_Toc152042312"/>
      <w:bookmarkStart w:id="32" w:name="_Toc144974504"/>
      <w:r>
        <w:rPr>
          <w:rFonts w:eastAsia="黑体" w:cs="宋体"/>
          <w:color w:val="000000"/>
          <w:sz w:val="24"/>
          <w:szCs w:val="20"/>
          <w:highlight w:val="none"/>
        </w:rPr>
        <w:t xml:space="preserve">1.6 </w:t>
      </w:r>
      <w:r>
        <w:rPr>
          <w:rFonts w:hint="eastAsia" w:eastAsia="黑体" w:cs="宋体"/>
          <w:color w:val="000000"/>
          <w:sz w:val="24"/>
          <w:szCs w:val="20"/>
          <w:highlight w:val="none"/>
        </w:rPr>
        <w:t>保密</w:t>
      </w:r>
      <w:bookmarkEnd w:id="29"/>
      <w:bookmarkEnd w:id="30"/>
      <w:bookmarkEnd w:id="31"/>
      <w:bookmarkEnd w:id="32"/>
    </w:p>
    <w:p w14:paraId="33740191">
      <w:pPr>
        <w:spacing w:line="400" w:lineRule="exact"/>
        <w:ind w:firstLine="420" w:firstLineChars="200"/>
        <w:rPr>
          <w:color w:val="000000"/>
          <w:highlight w:val="none"/>
        </w:rPr>
      </w:pPr>
      <w:r>
        <w:rPr>
          <w:rFonts w:hint="eastAsia"/>
          <w:color w:val="000000"/>
          <w:highlight w:val="none"/>
        </w:rPr>
        <w:t>参与招标投标活动的各方应对招标文件和投标文件中的商业和技术等秘密保密，违者应对由此造成的后果承担法律责任。</w:t>
      </w:r>
      <w:r>
        <w:rPr>
          <w:color w:val="000000"/>
          <w:highlight w:val="none"/>
        </w:rPr>
        <w:t xml:space="preserve"> </w:t>
      </w:r>
    </w:p>
    <w:p w14:paraId="3C185316">
      <w:pPr>
        <w:keepNext/>
        <w:keepLines/>
        <w:spacing w:line="400" w:lineRule="exact"/>
        <w:outlineLvl w:val="2"/>
        <w:rPr>
          <w:rFonts w:eastAsia="黑体" w:cs="宋体"/>
          <w:color w:val="000000"/>
          <w:sz w:val="24"/>
          <w:szCs w:val="20"/>
          <w:highlight w:val="none"/>
        </w:rPr>
      </w:pPr>
      <w:bookmarkStart w:id="33" w:name="_Toc144974505"/>
      <w:bookmarkStart w:id="34" w:name="_Toc152045537"/>
      <w:bookmarkStart w:id="35" w:name="_Toc179632554"/>
      <w:bookmarkStart w:id="36" w:name="_Toc152042313"/>
      <w:r>
        <w:rPr>
          <w:rFonts w:eastAsia="黑体" w:cs="宋体"/>
          <w:color w:val="000000"/>
          <w:sz w:val="24"/>
          <w:szCs w:val="20"/>
          <w:highlight w:val="none"/>
        </w:rPr>
        <w:t xml:space="preserve">1.7 </w:t>
      </w:r>
      <w:r>
        <w:rPr>
          <w:rFonts w:hint="eastAsia" w:eastAsia="黑体" w:cs="宋体"/>
          <w:color w:val="000000"/>
          <w:sz w:val="24"/>
          <w:szCs w:val="20"/>
          <w:highlight w:val="none"/>
        </w:rPr>
        <w:t>语言</w:t>
      </w:r>
      <w:bookmarkEnd w:id="33"/>
      <w:r>
        <w:rPr>
          <w:rFonts w:hint="eastAsia" w:eastAsia="黑体" w:cs="宋体"/>
          <w:color w:val="000000"/>
          <w:sz w:val="24"/>
          <w:szCs w:val="20"/>
          <w:highlight w:val="none"/>
        </w:rPr>
        <w:t>文字</w:t>
      </w:r>
      <w:bookmarkEnd w:id="34"/>
      <w:bookmarkEnd w:id="35"/>
      <w:bookmarkEnd w:id="36"/>
    </w:p>
    <w:p w14:paraId="553419C7">
      <w:pPr>
        <w:spacing w:line="400" w:lineRule="exact"/>
        <w:ind w:firstLine="420" w:firstLineChars="200"/>
        <w:rPr>
          <w:color w:val="000000"/>
          <w:highlight w:val="none"/>
        </w:rPr>
      </w:pPr>
      <w:r>
        <w:rPr>
          <w:rFonts w:hint="eastAsia"/>
          <w:color w:val="000000"/>
          <w:highlight w:val="none"/>
        </w:rPr>
        <w:t>除专用术语外，与招标投标有关的语言均使用中文。必要时专用术语应附有中文注释。</w:t>
      </w:r>
    </w:p>
    <w:p w14:paraId="4280743B">
      <w:pPr>
        <w:keepNext/>
        <w:keepLines/>
        <w:spacing w:line="400" w:lineRule="exact"/>
        <w:outlineLvl w:val="2"/>
        <w:rPr>
          <w:rFonts w:eastAsia="黑体" w:cs="宋体"/>
          <w:color w:val="000000"/>
          <w:sz w:val="24"/>
          <w:szCs w:val="20"/>
          <w:highlight w:val="none"/>
        </w:rPr>
      </w:pPr>
      <w:bookmarkStart w:id="37" w:name="_Toc152045538"/>
      <w:bookmarkStart w:id="38" w:name="_Toc144974506"/>
      <w:bookmarkStart w:id="39" w:name="_Toc152042314"/>
      <w:bookmarkStart w:id="40" w:name="_Toc179632555"/>
      <w:r>
        <w:rPr>
          <w:rFonts w:eastAsia="黑体" w:cs="宋体"/>
          <w:color w:val="000000"/>
          <w:sz w:val="24"/>
          <w:szCs w:val="20"/>
          <w:highlight w:val="none"/>
        </w:rPr>
        <w:t xml:space="preserve">1.8 </w:t>
      </w:r>
      <w:r>
        <w:rPr>
          <w:rFonts w:hint="eastAsia" w:eastAsia="黑体" w:cs="宋体"/>
          <w:color w:val="000000"/>
          <w:sz w:val="24"/>
          <w:szCs w:val="20"/>
          <w:highlight w:val="none"/>
        </w:rPr>
        <w:t>计量单位</w:t>
      </w:r>
      <w:bookmarkEnd w:id="37"/>
      <w:bookmarkEnd w:id="38"/>
      <w:bookmarkEnd w:id="39"/>
      <w:bookmarkEnd w:id="40"/>
    </w:p>
    <w:p w14:paraId="3E29A077">
      <w:pPr>
        <w:spacing w:line="400" w:lineRule="exact"/>
        <w:ind w:firstLine="420" w:firstLineChars="200"/>
        <w:rPr>
          <w:color w:val="000000"/>
          <w:highlight w:val="none"/>
        </w:rPr>
      </w:pPr>
      <w:r>
        <w:rPr>
          <w:rFonts w:hint="eastAsia"/>
          <w:color w:val="000000"/>
          <w:highlight w:val="none"/>
        </w:rPr>
        <w:t>所有计量均采用中华人民共和国法定计量单位。</w:t>
      </w:r>
    </w:p>
    <w:p w14:paraId="07A2DD0B">
      <w:pPr>
        <w:keepNext/>
        <w:keepLines/>
        <w:spacing w:line="400" w:lineRule="exact"/>
        <w:outlineLvl w:val="2"/>
        <w:rPr>
          <w:rFonts w:eastAsia="黑体" w:cs="宋体"/>
          <w:color w:val="000000"/>
          <w:sz w:val="24"/>
          <w:szCs w:val="20"/>
          <w:highlight w:val="none"/>
        </w:rPr>
      </w:pPr>
      <w:bookmarkStart w:id="41" w:name="_Toc152045539"/>
      <w:bookmarkStart w:id="42" w:name="_Toc179632556"/>
      <w:bookmarkStart w:id="43" w:name="_Toc144974507"/>
      <w:bookmarkStart w:id="44" w:name="_Toc152042315"/>
      <w:r>
        <w:rPr>
          <w:rFonts w:eastAsia="黑体" w:cs="宋体"/>
          <w:color w:val="000000"/>
          <w:sz w:val="24"/>
          <w:szCs w:val="20"/>
          <w:highlight w:val="none"/>
        </w:rPr>
        <w:t xml:space="preserve">1.9 </w:t>
      </w:r>
      <w:r>
        <w:rPr>
          <w:rFonts w:hint="eastAsia" w:eastAsia="黑体" w:cs="宋体"/>
          <w:color w:val="000000"/>
          <w:sz w:val="24"/>
          <w:szCs w:val="20"/>
          <w:highlight w:val="none"/>
        </w:rPr>
        <w:t>踏勘现场</w:t>
      </w:r>
      <w:bookmarkEnd w:id="41"/>
      <w:bookmarkEnd w:id="42"/>
      <w:bookmarkEnd w:id="43"/>
      <w:bookmarkEnd w:id="44"/>
    </w:p>
    <w:p w14:paraId="49DD60B5">
      <w:pPr>
        <w:spacing w:line="400" w:lineRule="exact"/>
        <w:ind w:firstLine="420" w:firstLineChars="200"/>
        <w:rPr>
          <w:color w:val="000000"/>
          <w:highlight w:val="none"/>
        </w:rPr>
      </w:pPr>
      <w:r>
        <w:rPr>
          <w:color w:val="000000"/>
          <w:highlight w:val="none"/>
        </w:rPr>
        <w:t xml:space="preserve">1.9.1 </w:t>
      </w:r>
      <w:r>
        <w:rPr>
          <w:rFonts w:hint="eastAsia"/>
          <w:color w:val="000000"/>
          <w:highlight w:val="none"/>
        </w:rPr>
        <w:t>投标人须知前附表规定组织踏勘现场的，招标人按投标人须知前附表规定的时间、地点组织投标人踏勘项目现场。</w:t>
      </w:r>
      <w:r>
        <w:rPr>
          <w:color w:val="000000"/>
          <w:highlight w:val="none"/>
        </w:rPr>
        <w:t xml:space="preserve"> </w:t>
      </w:r>
    </w:p>
    <w:p w14:paraId="54EAE321">
      <w:pPr>
        <w:spacing w:line="400" w:lineRule="exact"/>
        <w:ind w:firstLine="420" w:firstLineChars="200"/>
        <w:rPr>
          <w:color w:val="000000"/>
          <w:highlight w:val="none"/>
        </w:rPr>
      </w:pPr>
      <w:r>
        <w:rPr>
          <w:color w:val="000000"/>
          <w:highlight w:val="none"/>
        </w:rPr>
        <w:t xml:space="preserve">1.9.2 </w:t>
      </w:r>
      <w:r>
        <w:rPr>
          <w:rFonts w:hint="eastAsia"/>
          <w:color w:val="000000"/>
          <w:highlight w:val="none"/>
        </w:rPr>
        <w:t>投标人踏勘现场发生的费用自理。</w:t>
      </w:r>
    </w:p>
    <w:p w14:paraId="3F3480F2">
      <w:pPr>
        <w:spacing w:line="400" w:lineRule="exact"/>
        <w:ind w:firstLine="420" w:firstLineChars="200"/>
        <w:rPr>
          <w:color w:val="000000"/>
          <w:highlight w:val="none"/>
        </w:rPr>
      </w:pPr>
      <w:r>
        <w:rPr>
          <w:color w:val="000000"/>
          <w:highlight w:val="none"/>
        </w:rPr>
        <w:t xml:space="preserve">1.9.3 </w:t>
      </w:r>
      <w:r>
        <w:rPr>
          <w:rFonts w:hint="eastAsia"/>
          <w:color w:val="000000"/>
          <w:highlight w:val="none"/>
        </w:rPr>
        <w:t>除招标人的原因外，投标人自行负责在踏勘现场中所发生的人员伤亡和财产损失。</w:t>
      </w:r>
    </w:p>
    <w:p w14:paraId="787F59C1">
      <w:pPr>
        <w:spacing w:line="400" w:lineRule="exact"/>
        <w:ind w:firstLine="420" w:firstLineChars="200"/>
        <w:rPr>
          <w:color w:val="000000"/>
          <w:highlight w:val="none"/>
        </w:rPr>
      </w:pPr>
      <w:r>
        <w:rPr>
          <w:color w:val="000000"/>
          <w:highlight w:val="none"/>
        </w:rPr>
        <w:t>1.9.4</w:t>
      </w:r>
      <w:r>
        <w:rPr>
          <w:rFonts w:hint="eastAsia"/>
          <w:color w:val="000000"/>
          <w:highlight w:val="none"/>
        </w:rPr>
        <w:t>投标人自行勘察现场应充分了解施工场地的位置、施工现场状况、本项目招标范围及未完工程节点、周边环境以及影响投标报价等其他要素，结合公司及市场实际情况进行投标报价。</w:t>
      </w:r>
    </w:p>
    <w:p w14:paraId="1003E6B3">
      <w:pPr>
        <w:spacing w:line="400" w:lineRule="exact"/>
        <w:ind w:firstLine="420" w:firstLineChars="200"/>
        <w:rPr>
          <w:color w:val="000000"/>
          <w:highlight w:val="none"/>
        </w:rPr>
      </w:pPr>
      <w:r>
        <w:rPr>
          <w:color w:val="000000"/>
          <w:highlight w:val="none"/>
        </w:rPr>
        <w:t>1.9.5</w:t>
      </w:r>
      <w:r>
        <w:rPr>
          <w:rFonts w:hint="eastAsia"/>
          <w:color w:val="000000"/>
          <w:highlight w:val="none"/>
        </w:rPr>
        <w:t>招标人在踏勘现场中介绍的工程场地和相关的周边环境情况，供投标人在编制投标文件时参考，招标人不对投标人据此作出的判断和决策负责。</w:t>
      </w:r>
    </w:p>
    <w:p w14:paraId="7193DF6B">
      <w:pPr>
        <w:keepNext/>
        <w:keepLines/>
        <w:spacing w:line="400" w:lineRule="exact"/>
        <w:outlineLvl w:val="2"/>
        <w:rPr>
          <w:rFonts w:eastAsia="黑体" w:cs="宋体"/>
          <w:color w:val="000000"/>
          <w:sz w:val="24"/>
          <w:szCs w:val="20"/>
          <w:highlight w:val="none"/>
        </w:rPr>
      </w:pPr>
      <w:bookmarkStart w:id="45" w:name="_Toc144974508"/>
      <w:bookmarkStart w:id="46" w:name="_Toc179632557"/>
      <w:bookmarkStart w:id="47" w:name="_Toc152042316"/>
      <w:bookmarkStart w:id="48" w:name="_Toc152045540"/>
      <w:r>
        <w:rPr>
          <w:rFonts w:eastAsia="黑体" w:cs="宋体"/>
          <w:color w:val="000000"/>
          <w:sz w:val="24"/>
          <w:szCs w:val="20"/>
          <w:highlight w:val="none"/>
        </w:rPr>
        <w:t xml:space="preserve">1.10 </w:t>
      </w:r>
      <w:r>
        <w:rPr>
          <w:rFonts w:hint="eastAsia" w:eastAsia="黑体" w:cs="宋体"/>
          <w:color w:val="000000"/>
          <w:sz w:val="24"/>
          <w:szCs w:val="20"/>
          <w:highlight w:val="none"/>
        </w:rPr>
        <w:t>投标预备会</w:t>
      </w:r>
      <w:bookmarkEnd w:id="45"/>
      <w:bookmarkEnd w:id="46"/>
      <w:bookmarkEnd w:id="47"/>
      <w:bookmarkEnd w:id="48"/>
    </w:p>
    <w:p w14:paraId="494D8FDE">
      <w:pPr>
        <w:spacing w:line="400" w:lineRule="exact"/>
        <w:ind w:firstLine="420" w:firstLineChars="200"/>
        <w:rPr>
          <w:color w:val="000000"/>
          <w:highlight w:val="none"/>
        </w:rPr>
      </w:pPr>
      <w:r>
        <w:rPr>
          <w:color w:val="000000"/>
          <w:highlight w:val="none"/>
        </w:rPr>
        <w:t xml:space="preserve">1.10.1 </w:t>
      </w:r>
      <w:r>
        <w:rPr>
          <w:rFonts w:hint="eastAsia"/>
          <w:color w:val="000000"/>
          <w:highlight w:val="none"/>
        </w:rPr>
        <w:t>投标人须知前附表规定召开投标预备会的，招标人按投标人须知前附表规定的时间和地点召开投标预备会，澄清投标人提出的问题。</w:t>
      </w:r>
    </w:p>
    <w:p w14:paraId="4F971588">
      <w:pPr>
        <w:spacing w:line="400" w:lineRule="exact"/>
        <w:ind w:firstLine="420" w:firstLineChars="200"/>
        <w:rPr>
          <w:color w:val="000000"/>
          <w:highlight w:val="none"/>
        </w:rPr>
      </w:pPr>
      <w:r>
        <w:rPr>
          <w:color w:val="000000"/>
          <w:highlight w:val="none"/>
        </w:rPr>
        <w:t xml:space="preserve">1.10.2 </w:t>
      </w:r>
      <w:r>
        <w:rPr>
          <w:rFonts w:hint="eastAsia"/>
          <w:color w:val="000000"/>
          <w:highlight w:val="none"/>
        </w:rPr>
        <w:t>投标人应在投标人须知前附表规定的时间前，通过全国公共资源交易平台（河南省</w:t>
      </w:r>
      <w:r>
        <w:rPr>
          <w:rFonts w:hint="eastAsia" w:ascii="MS Gothic" w:hAnsi="MS Gothic" w:eastAsia="MS Gothic" w:cs="MS Gothic"/>
          <w:color w:val="000000"/>
          <w:highlight w:val="none"/>
        </w:rPr>
        <w:t>▪</w:t>
      </w:r>
      <w:r>
        <w:rPr>
          <w:rFonts w:hint="eastAsia" w:ascii="宋体" w:hAnsi="宋体" w:cs="宋体"/>
          <w:color w:val="000000"/>
          <w:highlight w:val="none"/>
        </w:rPr>
        <w:t>平顶山市</w:t>
      </w:r>
      <w:r>
        <w:rPr>
          <w:color w:val="000000"/>
          <w:highlight w:val="none"/>
        </w:rPr>
        <w:t>)</w:t>
      </w:r>
      <w:r>
        <w:rPr>
          <w:rFonts w:hint="eastAsia"/>
          <w:color w:val="000000"/>
          <w:highlight w:val="none"/>
        </w:rPr>
        <w:t>公共资源交易系统</w:t>
      </w:r>
      <w:r>
        <w:rPr>
          <w:color w:val="000000"/>
          <w:highlight w:val="none"/>
        </w:rPr>
        <w:t xml:space="preserve"> </w:t>
      </w:r>
      <w:r>
        <w:rPr>
          <w:rFonts w:hint="eastAsia" w:ascii="宋体" w:hAnsi="宋体"/>
          <w:color w:val="000000"/>
          <w:szCs w:val="21"/>
          <w:highlight w:val="none"/>
        </w:rPr>
        <w:t>提出</w:t>
      </w:r>
      <w:r>
        <w:rPr>
          <w:rFonts w:hint="eastAsia"/>
          <w:color w:val="000000"/>
          <w:highlight w:val="none"/>
        </w:rPr>
        <w:t>。</w:t>
      </w:r>
    </w:p>
    <w:p w14:paraId="12F31C22">
      <w:pPr>
        <w:spacing w:line="400" w:lineRule="exact"/>
        <w:ind w:firstLine="420" w:firstLineChars="200"/>
        <w:rPr>
          <w:color w:val="000000"/>
          <w:highlight w:val="none"/>
        </w:rPr>
      </w:pPr>
      <w:r>
        <w:rPr>
          <w:color w:val="000000"/>
          <w:highlight w:val="none"/>
        </w:rPr>
        <w:t xml:space="preserve">1.10.3 </w:t>
      </w:r>
      <w:r>
        <w:rPr>
          <w:rFonts w:hint="eastAsia"/>
          <w:color w:val="000000"/>
          <w:highlight w:val="none"/>
        </w:rPr>
        <w:t>投标预备会后，招标人在投标人须知前附表规定的时间内，将对投标人所提问题的澄清，通过全国公共资源交易平台（河南省</w:t>
      </w:r>
      <w:r>
        <w:rPr>
          <w:rFonts w:hint="eastAsia" w:ascii="MS Gothic" w:hAnsi="MS Gothic" w:eastAsia="MS Gothic" w:cs="MS Gothic"/>
          <w:color w:val="000000"/>
          <w:highlight w:val="none"/>
        </w:rPr>
        <w:t>▪</w:t>
      </w:r>
      <w:r>
        <w:rPr>
          <w:rFonts w:hint="eastAsia" w:ascii="宋体" w:hAnsi="宋体" w:cs="宋体"/>
          <w:color w:val="000000"/>
          <w:highlight w:val="none"/>
        </w:rPr>
        <w:t>平顶山</w:t>
      </w:r>
      <w:r>
        <w:rPr>
          <w:rFonts w:hint="eastAsia"/>
          <w:color w:val="000000"/>
          <w:highlight w:val="none"/>
        </w:rPr>
        <w:t>市</w:t>
      </w:r>
      <w:r>
        <w:rPr>
          <w:color w:val="000000"/>
          <w:highlight w:val="none"/>
        </w:rPr>
        <w:t>)</w:t>
      </w:r>
      <w:r>
        <w:rPr>
          <w:rFonts w:hint="eastAsia"/>
          <w:color w:val="000000"/>
          <w:highlight w:val="none"/>
        </w:rPr>
        <w:t>公共资源交易系统</w:t>
      </w:r>
      <w:r>
        <w:rPr>
          <w:color w:val="000000"/>
          <w:highlight w:val="none"/>
        </w:rPr>
        <w:t xml:space="preserve"> </w:t>
      </w:r>
      <w:r>
        <w:rPr>
          <w:rFonts w:hint="eastAsia" w:ascii="宋体" w:hAnsi="宋体"/>
          <w:color w:val="000000"/>
          <w:szCs w:val="21"/>
          <w:highlight w:val="none"/>
        </w:rPr>
        <w:t>进行回复</w:t>
      </w:r>
      <w:r>
        <w:rPr>
          <w:rFonts w:hint="eastAsia"/>
          <w:color w:val="000000"/>
          <w:highlight w:val="none"/>
        </w:rPr>
        <w:t>。该澄清内容为招标文件的组成部分。</w:t>
      </w:r>
    </w:p>
    <w:p w14:paraId="04C2BFDD">
      <w:pPr>
        <w:keepNext/>
        <w:keepLines/>
        <w:spacing w:line="400" w:lineRule="exact"/>
        <w:outlineLvl w:val="2"/>
        <w:rPr>
          <w:rFonts w:eastAsia="黑体" w:cs="宋体"/>
          <w:color w:val="000000"/>
          <w:sz w:val="24"/>
          <w:szCs w:val="20"/>
          <w:highlight w:val="none"/>
        </w:rPr>
      </w:pPr>
      <w:bookmarkStart w:id="49" w:name="_Toc144974509"/>
      <w:bookmarkStart w:id="50" w:name="_Toc179632558"/>
      <w:bookmarkStart w:id="51" w:name="_Toc152042317"/>
      <w:bookmarkStart w:id="52" w:name="_Toc152045541"/>
      <w:r>
        <w:rPr>
          <w:rFonts w:eastAsia="黑体" w:cs="宋体"/>
          <w:color w:val="000000"/>
          <w:sz w:val="24"/>
          <w:szCs w:val="20"/>
          <w:highlight w:val="none"/>
        </w:rPr>
        <w:t xml:space="preserve">1.11 </w:t>
      </w:r>
      <w:r>
        <w:rPr>
          <w:rFonts w:hint="eastAsia" w:eastAsia="黑体" w:cs="宋体"/>
          <w:color w:val="000000"/>
          <w:sz w:val="24"/>
          <w:szCs w:val="20"/>
          <w:highlight w:val="none"/>
        </w:rPr>
        <w:t>分包</w:t>
      </w:r>
      <w:bookmarkEnd w:id="49"/>
      <w:bookmarkEnd w:id="50"/>
      <w:bookmarkEnd w:id="51"/>
      <w:bookmarkEnd w:id="52"/>
    </w:p>
    <w:p w14:paraId="57155DF9">
      <w:pPr>
        <w:spacing w:line="400" w:lineRule="exact"/>
        <w:ind w:firstLine="420" w:firstLineChars="200"/>
        <w:rPr>
          <w:color w:val="000000"/>
          <w:highlight w:val="none"/>
        </w:rPr>
      </w:pPr>
      <w:r>
        <w:rPr>
          <w:rFonts w:hint="eastAsia"/>
          <w:color w:val="000000"/>
          <w:highlight w:val="none"/>
        </w:rPr>
        <w:t>见投标人须知前附表</w:t>
      </w:r>
      <w:r>
        <w:rPr>
          <w:rFonts w:hint="eastAsia"/>
          <w:color w:val="000000"/>
          <w:szCs w:val="21"/>
          <w:highlight w:val="none"/>
        </w:rPr>
        <w:t>。</w:t>
      </w:r>
    </w:p>
    <w:p w14:paraId="3C9C19D9">
      <w:pPr>
        <w:keepNext/>
        <w:keepLines/>
        <w:spacing w:line="400" w:lineRule="exact"/>
        <w:outlineLvl w:val="2"/>
        <w:rPr>
          <w:rFonts w:eastAsia="黑体" w:cs="宋体"/>
          <w:color w:val="000000"/>
          <w:sz w:val="24"/>
          <w:szCs w:val="20"/>
          <w:highlight w:val="none"/>
        </w:rPr>
      </w:pPr>
      <w:bookmarkStart w:id="53" w:name="_Toc179632559"/>
      <w:r>
        <w:rPr>
          <w:rFonts w:eastAsia="黑体" w:cs="宋体"/>
          <w:color w:val="000000"/>
          <w:sz w:val="24"/>
          <w:szCs w:val="20"/>
          <w:highlight w:val="none"/>
        </w:rPr>
        <w:t xml:space="preserve">1.12 </w:t>
      </w:r>
      <w:r>
        <w:rPr>
          <w:rFonts w:hint="eastAsia" w:eastAsia="黑体" w:cs="宋体"/>
          <w:color w:val="000000"/>
          <w:sz w:val="24"/>
          <w:szCs w:val="20"/>
          <w:highlight w:val="none"/>
        </w:rPr>
        <w:t>偏离</w:t>
      </w:r>
      <w:bookmarkEnd w:id="53"/>
    </w:p>
    <w:p w14:paraId="79E8F641">
      <w:pPr>
        <w:spacing w:line="400" w:lineRule="exact"/>
        <w:ind w:firstLine="359" w:firstLineChars="171"/>
        <w:rPr>
          <w:color w:val="000000"/>
          <w:highlight w:val="none"/>
        </w:rPr>
      </w:pPr>
      <w:r>
        <w:rPr>
          <w:rFonts w:hint="eastAsia"/>
          <w:color w:val="000000"/>
          <w:highlight w:val="none"/>
        </w:rPr>
        <w:t>见投标人须知前附表。</w:t>
      </w:r>
    </w:p>
    <w:p w14:paraId="1AD7CD41">
      <w:pPr>
        <w:keepNext/>
        <w:keepLines/>
        <w:spacing w:before="100" w:line="400" w:lineRule="exact"/>
        <w:outlineLvl w:val="1"/>
        <w:rPr>
          <w:rFonts w:eastAsia="黑体" w:cs="宋体"/>
          <w:color w:val="000000"/>
          <w:sz w:val="28"/>
          <w:szCs w:val="20"/>
          <w:highlight w:val="none"/>
        </w:rPr>
      </w:pPr>
      <w:bookmarkStart w:id="54" w:name="_Toc144974510"/>
      <w:bookmarkStart w:id="55" w:name="_Toc149833933"/>
      <w:bookmarkStart w:id="56" w:name="_Toc179632560"/>
      <w:bookmarkStart w:id="57" w:name="_Toc152045542"/>
      <w:bookmarkStart w:id="58" w:name="_Toc155799712"/>
      <w:bookmarkStart w:id="59" w:name="_Toc152042318"/>
      <w:r>
        <w:rPr>
          <w:rFonts w:eastAsia="黑体" w:cs="宋体"/>
          <w:color w:val="000000"/>
          <w:sz w:val="28"/>
          <w:szCs w:val="20"/>
          <w:highlight w:val="none"/>
        </w:rPr>
        <w:t xml:space="preserve">2. </w:t>
      </w:r>
      <w:r>
        <w:rPr>
          <w:rFonts w:hint="eastAsia" w:eastAsia="黑体" w:cs="宋体"/>
          <w:color w:val="000000"/>
          <w:sz w:val="28"/>
          <w:szCs w:val="20"/>
          <w:highlight w:val="none"/>
        </w:rPr>
        <w:t>招标文件</w:t>
      </w:r>
      <w:bookmarkEnd w:id="54"/>
      <w:bookmarkEnd w:id="55"/>
      <w:bookmarkEnd w:id="56"/>
      <w:bookmarkEnd w:id="57"/>
      <w:bookmarkEnd w:id="58"/>
      <w:bookmarkEnd w:id="59"/>
    </w:p>
    <w:p w14:paraId="5E6D91FC">
      <w:pPr>
        <w:keepNext/>
        <w:keepLines/>
        <w:spacing w:line="400" w:lineRule="exact"/>
        <w:outlineLvl w:val="2"/>
        <w:rPr>
          <w:rFonts w:eastAsia="黑体" w:cs="宋体"/>
          <w:color w:val="000000"/>
          <w:sz w:val="24"/>
          <w:szCs w:val="20"/>
          <w:highlight w:val="none"/>
        </w:rPr>
      </w:pPr>
      <w:bookmarkStart w:id="60" w:name="_Toc179632561"/>
      <w:bookmarkStart w:id="61" w:name="_Toc152042319"/>
      <w:bookmarkStart w:id="62" w:name="_Toc152045543"/>
      <w:bookmarkStart w:id="63" w:name="_Toc144974511"/>
      <w:r>
        <w:rPr>
          <w:rFonts w:eastAsia="黑体" w:cs="宋体"/>
          <w:color w:val="000000"/>
          <w:sz w:val="24"/>
          <w:szCs w:val="20"/>
          <w:highlight w:val="none"/>
        </w:rPr>
        <w:t xml:space="preserve">2.1 </w:t>
      </w:r>
      <w:r>
        <w:rPr>
          <w:rFonts w:hint="eastAsia" w:eastAsia="黑体" w:cs="宋体"/>
          <w:color w:val="000000"/>
          <w:sz w:val="24"/>
          <w:szCs w:val="20"/>
          <w:highlight w:val="none"/>
        </w:rPr>
        <w:t>招标文件的组成</w:t>
      </w:r>
      <w:bookmarkEnd w:id="60"/>
      <w:bookmarkEnd w:id="61"/>
      <w:bookmarkEnd w:id="62"/>
      <w:bookmarkEnd w:id="63"/>
    </w:p>
    <w:p w14:paraId="05839743">
      <w:pPr>
        <w:spacing w:line="400" w:lineRule="exact"/>
        <w:rPr>
          <w:color w:val="000000"/>
          <w:highlight w:val="none"/>
        </w:rPr>
      </w:pPr>
      <w:r>
        <w:rPr>
          <w:rFonts w:hint="eastAsia"/>
          <w:color w:val="000000"/>
          <w:highlight w:val="none"/>
        </w:rPr>
        <w:t>　　本招标文件包括：</w:t>
      </w:r>
    </w:p>
    <w:p w14:paraId="6547545A">
      <w:pPr>
        <w:spacing w:line="400" w:lineRule="exact"/>
        <w:ind w:firstLine="359" w:firstLineChars="171"/>
        <w:rPr>
          <w:color w:val="000000"/>
          <w:highlight w:val="none"/>
        </w:rPr>
      </w:pPr>
      <w:r>
        <w:rPr>
          <w:rFonts w:hint="eastAsia"/>
          <w:color w:val="000000"/>
          <w:highlight w:val="none"/>
        </w:rPr>
        <w:t>（</w:t>
      </w:r>
      <w:r>
        <w:rPr>
          <w:color w:val="000000"/>
          <w:highlight w:val="none"/>
        </w:rPr>
        <w:t>1</w:t>
      </w:r>
      <w:r>
        <w:rPr>
          <w:rFonts w:hint="eastAsia"/>
          <w:color w:val="000000"/>
          <w:highlight w:val="none"/>
        </w:rPr>
        <w:t>）招标公告；</w:t>
      </w:r>
    </w:p>
    <w:p w14:paraId="0C8F24F4">
      <w:pPr>
        <w:spacing w:line="400" w:lineRule="exact"/>
        <w:ind w:firstLine="359" w:firstLineChars="171"/>
        <w:rPr>
          <w:color w:val="000000"/>
          <w:highlight w:val="none"/>
        </w:rPr>
      </w:pPr>
      <w:r>
        <w:rPr>
          <w:rFonts w:hint="eastAsia"/>
          <w:color w:val="000000"/>
          <w:highlight w:val="none"/>
        </w:rPr>
        <w:t>（</w:t>
      </w:r>
      <w:r>
        <w:rPr>
          <w:color w:val="000000"/>
          <w:highlight w:val="none"/>
        </w:rPr>
        <w:t>2</w:t>
      </w:r>
      <w:r>
        <w:rPr>
          <w:rFonts w:hint="eastAsia"/>
          <w:color w:val="000000"/>
          <w:highlight w:val="none"/>
        </w:rPr>
        <w:t>）投标人须知；</w:t>
      </w:r>
    </w:p>
    <w:p w14:paraId="3BA3B1EF">
      <w:pPr>
        <w:spacing w:line="400" w:lineRule="exact"/>
        <w:ind w:firstLine="359" w:firstLineChars="171"/>
        <w:rPr>
          <w:color w:val="000000"/>
          <w:highlight w:val="none"/>
        </w:rPr>
      </w:pPr>
      <w:r>
        <w:rPr>
          <w:rFonts w:hint="eastAsia"/>
          <w:color w:val="000000"/>
          <w:highlight w:val="none"/>
        </w:rPr>
        <w:t>（</w:t>
      </w:r>
      <w:r>
        <w:rPr>
          <w:color w:val="000000"/>
          <w:highlight w:val="none"/>
        </w:rPr>
        <w:t>3</w:t>
      </w:r>
      <w:r>
        <w:rPr>
          <w:rFonts w:hint="eastAsia"/>
          <w:color w:val="000000"/>
          <w:highlight w:val="none"/>
        </w:rPr>
        <w:t>）评标办法；</w:t>
      </w:r>
    </w:p>
    <w:p w14:paraId="1E5EF43E">
      <w:pPr>
        <w:spacing w:line="400" w:lineRule="exact"/>
        <w:ind w:firstLine="359" w:firstLineChars="171"/>
        <w:rPr>
          <w:color w:val="000000"/>
          <w:highlight w:val="none"/>
        </w:rPr>
      </w:pPr>
      <w:r>
        <w:rPr>
          <w:rFonts w:hint="eastAsia"/>
          <w:color w:val="000000"/>
          <w:highlight w:val="none"/>
        </w:rPr>
        <w:t>（</w:t>
      </w:r>
      <w:r>
        <w:rPr>
          <w:color w:val="000000"/>
          <w:highlight w:val="none"/>
        </w:rPr>
        <w:t>4</w:t>
      </w:r>
      <w:r>
        <w:rPr>
          <w:rFonts w:hint="eastAsia"/>
          <w:color w:val="000000"/>
          <w:highlight w:val="none"/>
        </w:rPr>
        <w:t>）合同条款及格式；</w:t>
      </w:r>
    </w:p>
    <w:p w14:paraId="2C58CB62">
      <w:pPr>
        <w:spacing w:line="400" w:lineRule="exact"/>
        <w:ind w:firstLine="359" w:firstLineChars="171"/>
        <w:rPr>
          <w:color w:val="000000"/>
          <w:highlight w:val="none"/>
        </w:rPr>
      </w:pPr>
      <w:r>
        <w:rPr>
          <w:rFonts w:hint="eastAsia"/>
          <w:color w:val="000000"/>
          <w:highlight w:val="none"/>
        </w:rPr>
        <w:t>（</w:t>
      </w:r>
      <w:r>
        <w:rPr>
          <w:color w:val="000000"/>
          <w:highlight w:val="none"/>
        </w:rPr>
        <w:t>5</w:t>
      </w:r>
      <w:r>
        <w:rPr>
          <w:rFonts w:hint="eastAsia"/>
          <w:color w:val="000000"/>
          <w:highlight w:val="none"/>
        </w:rPr>
        <w:t>）工程量清单；</w:t>
      </w:r>
      <w:r>
        <w:rPr>
          <w:color w:val="000000"/>
          <w:highlight w:val="none"/>
        </w:rPr>
        <w:t xml:space="preserve"> </w:t>
      </w:r>
    </w:p>
    <w:p w14:paraId="3C8B035C">
      <w:pPr>
        <w:spacing w:line="400" w:lineRule="exact"/>
        <w:ind w:firstLine="359" w:firstLineChars="171"/>
        <w:rPr>
          <w:color w:val="000000"/>
          <w:highlight w:val="none"/>
        </w:rPr>
      </w:pPr>
      <w:r>
        <w:rPr>
          <w:rFonts w:hint="eastAsia"/>
          <w:color w:val="000000"/>
          <w:highlight w:val="none"/>
        </w:rPr>
        <w:t>（</w:t>
      </w:r>
      <w:r>
        <w:rPr>
          <w:color w:val="000000"/>
          <w:highlight w:val="none"/>
        </w:rPr>
        <w:t>6</w:t>
      </w:r>
      <w:r>
        <w:rPr>
          <w:rFonts w:hint="eastAsia"/>
          <w:color w:val="000000"/>
          <w:highlight w:val="none"/>
        </w:rPr>
        <w:t>）图纸；</w:t>
      </w:r>
      <w:r>
        <w:rPr>
          <w:color w:val="000000"/>
          <w:highlight w:val="none"/>
        </w:rPr>
        <w:t xml:space="preserve"> </w:t>
      </w:r>
    </w:p>
    <w:p w14:paraId="6E89D2AB">
      <w:pPr>
        <w:spacing w:line="400" w:lineRule="exact"/>
        <w:ind w:firstLine="359" w:firstLineChars="171"/>
        <w:rPr>
          <w:color w:val="000000"/>
          <w:highlight w:val="none"/>
        </w:rPr>
      </w:pPr>
      <w:r>
        <w:rPr>
          <w:rFonts w:hint="eastAsia"/>
          <w:color w:val="000000"/>
          <w:highlight w:val="none"/>
        </w:rPr>
        <w:t>（</w:t>
      </w:r>
      <w:r>
        <w:rPr>
          <w:color w:val="000000"/>
          <w:highlight w:val="none"/>
        </w:rPr>
        <w:t>7</w:t>
      </w:r>
      <w:r>
        <w:rPr>
          <w:rFonts w:hint="eastAsia"/>
          <w:color w:val="000000"/>
          <w:highlight w:val="none"/>
        </w:rPr>
        <w:t>）技术标准和要求；</w:t>
      </w:r>
      <w:r>
        <w:rPr>
          <w:color w:val="000000"/>
          <w:highlight w:val="none"/>
        </w:rPr>
        <w:t xml:space="preserve"> </w:t>
      </w:r>
    </w:p>
    <w:p w14:paraId="5CD80881">
      <w:pPr>
        <w:spacing w:line="400" w:lineRule="exact"/>
        <w:ind w:firstLine="359" w:firstLineChars="171"/>
        <w:rPr>
          <w:color w:val="000000"/>
          <w:highlight w:val="none"/>
        </w:rPr>
      </w:pPr>
      <w:r>
        <w:rPr>
          <w:rFonts w:hint="eastAsia"/>
          <w:color w:val="000000"/>
          <w:highlight w:val="none"/>
        </w:rPr>
        <w:t>（</w:t>
      </w:r>
      <w:r>
        <w:rPr>
          <w:color w:val="000000"/>
          <w:highlight w:val="none"/>
        </w:rPr>
        <w:t>8</w:t>
      </w:r>
      <w:r>
        <w:rPr>
          <w:rFonts w:hint="eastAsia"/>
          <w:color w:val="000000"/>
          <w:highlight w:val="none"/>
        </w:rPr>
        <w:t>）投标文件格式；</w:t>
      </w:r>
    </w:p>
    <w:p w14:paraId="2C4D040E">
      <w:pPr>
        <w:spacing w:line="400" w:lineRule="exact"/>
        <w:ind w:firstLine="359" w:firstLineChars="171"/>
        <w:rPr>
          <w:color w:val="000000"/>
          <w:highlight w:val="none"/>
        </w:rPr>
      </w:pPr>
      <w:r>
        <w:rPr>
          <w:rFonts w:hint="eastAsia"/>
          <w:color w:val="000000"/>
          <w:highlight w:val="none"/>
        </w:rPr>
        <w:t>（</w:t>
      </w:r>
      <w:r>
        <w:rPr>
          <w:color w:val="000000"/>
          <w:highlight w:val="none"/>
        </w:rPr>
        <w:t>9</w:t>
      </w:r>
      <w:r>
        <w:rPr>
          <w:rFonts w:hint="eastAsia"/>
          <w:color w:val="000000"/>
          <w:highlight w:val="none"/>
        </w:rPr>
        <w:t>）投标人须知前附表规定的其他材料。</w:t>
      </w:r>
    </w:p>
    <w:p w14:paraId="45106627">
      <w:pPr>
        <w:spacing w:line="400" w:lineRule="exact"/>
        <w:ind w:firstLine="420" w:firstLineChars="200"/>
        <w:rPr>
          <w:color w:val="000000"/>
          <w:highlight w:val="none"/>
        </w:rPr>
      </w:pPr>
      <w:r>
        <w:rPr>
          <w:rFonts w:hint="eastAsia"/>
          <w:color w:val="000000"/>
          <w:highlight w:val="none"/>
        </w:rPr>
        <w:t>根据本章第</w:t>
      </w:r>
      <w:r>
        <w:rPr>
          <w:color w:val="000000"/>
          <w:highlight w:val="none"/>
        </w:rPr>
        <w:t>1.10</w:t>
      </w:r>
      <w:r>
        <w:rPr>
          <w:rFonts w:hint="eastAsia"/>
          <w:color w:val="000000"/>
          <w:highlight w:val="none"/>
        </w:rPr>
        <w:t>款、第</w:t>
      </w:r>
      <w:r>
        <w:rPr>
          <w:color w:val="000000"/>
          <w:highlight w:val="none"/>
        </w:rPr>
        <w:t>2.2</w:t>
      </w:r>
      <w:r>
        <w:rPr>
          <w:rFonts w:hint="eastAsia"/>
          <w:color w:val="000000"/>
          <w:highlight w:val="none"/>
        </w:rPr>
        <w:t>款和第</w:t>
      </w:r>
      <w:r>
        <w:rPr>
          <w:color w:val="000000"/>
          <w:highlight w:val="none"/>
        </w:rPr>
        <w:t>2.3</w:t>
      </w:r>
      <w:r>
        <w:rPr>
          <w:rFonts w:hint="eastAsia"/>
          <w:color w:val="000000"/>
          <w:highlight w:val="none"/>
        </w:rPr>
        <w:t>款对招标文件所作的澄清、修改，构成招标文件的组成部分。</w:t>
      </w:r>
    </w:p>
    <w:p w14:paraId="3A411D80">
      <w:pPr>
        <w:keepNext/>
        <w:keepLines/>
        <w:spacing w:line="400" w:lineRule="exact"/>
        <w:outlineLvl w:val="2"/>
        <w:rPr>
          <w:rFonts w:eastAsia="黑体" w:cs="宋体"/>
          <w:color w:val="000000"/>
          <w:sz w:val="24"/>
          <w:szCs w:val="20"/>
          <w:highlight w:val="none"/>
        </w:rPr>
      </w:pPr>
      <w:bookmarkStart w:id="64" w:name="_Toc179632562"/>
      <w:bookmarkStart w:id="65" w:name="_Toc152045544"/>
      <w:bookmarkStart w:id="66" w:name="_Toc152042320"/>
      <w:bookmarkStart w:id="67" w:name="_Toc144974512"/>
      <w:r>
        <w:rPr>
          <w:rFonts w:eastAsia="黑体" w:cs="宋体"/>
          <w:color w:val="000000"/>
          <w:sz w:val="24"/>
          <w:szCs w:val="20"/>
          <w:highlight w:val="none"/>
        </w:rPr>
        <w:t xml:space="preserve">2.2 </w:t>
      </w:r>
      <w:r>
        <w:rPr>
          <w:rFonts w:hint="eastAsia" w:eastAsia="黑体" w:cs="宋体"/>
          <w:color w:val="000000"/>
          <w:sz w:val="24"/>
          <w:szCs w:val="20"/>
          <w:highlight w:val="none"/>
        </w:rPr>
        <w:t>招标文件的澄清</w:t>
      </w:r>
      <w:bookmarkEnd w:id="64"/>
      <w:bookmarkEnd w:id="65"/>
      <w:bookmarkEnd w:id="66"/>
      <w:bookmarkEnd w:id="67"/>
    </w:p>
    <w:p w14:paraId="111E7FFF">
      <w:pPr>
        <w:spacing w:line="400" w:lineRule="exact"/>
        <w:ind w:firstLine="420" w:firstLineChars="200"/>
        <w:rPr>
          <w:color w:val="000000"/>
          <w:highlight w:val="none"/>
        </w:rPr>
      </w:pPr>
      <w:bookmarkStart w:id="68" w:name="_Toc144974513"/>
      <w:bookmarkStart w:id="69" w:name="_Toc152042321"/>
      <w:bookmarkStart w:id="70" w:name="_Toc179632563"/>
      <w:bookmarkStart w:id="71" w:name="_Toc152045545"/>
      <w:r>
        <w:rPr>
          <w:color w:val="000000"/>
          <w:highlight w:val="none"/>
        </w:rPr>
        <w:t>2.2.1</w:t>
      </w:r>
      <w:r>
        <w:rPr>
          <w:rFonts w:hint="eastAsia"/>
          <w:color w:val="000000"/>
          <w:highlight w:val="none"/>
        </w:rPr>
        <w:t>投标人应仔细阅读和检查招标文件的全部内容。如有疑问，应在投标人须知前附表规定的时间前通过全国公共资源交易平台（河南省</w:t>
      </w:r>
      <w:r>
        <w:rPr>
          <w:rFonts w:hint="eastAsia" w:ascii="MS Gothic" w:hAnsi="MS Gothic" w:eastAsia="MS Gothic" w:cs="MS Gothic"/>
          <w:color w:val="000000"/>
          <w:highlight w:val="none"/>
        </w:rPr>
        <w:t>▪</w:t>
      </w:r>
      <w:r>
        <w:rPr>
          <w:rFonts w:hint="eastAsia" w:ascii="宋体" w:hAnsi="宋体" w:cs="宋体"/>
          <w:color w:val="000000"/>
          <w:highlight w:val="none"/>
        </w:rPr>
        <w:t>平顶山市</w:t>
      </w:r>
      <w:r>
        <w:rPr>
          <w:color w:val="000000"/>
          <w:highlight w:val="none"/>
        </w:rPr>
        <w:t>)</w:t>
      </w:r>
      <w:r>
        <w:rPr>
          <w:rFonts w:hint="eastAsia"/>
          <w:color w:val="000000"/>
          <w:highlight w:val="none"/>
        </w:rPr>
        <w:t>公共资源交易系统</w:t>
      </w:r>
      <w:r>
        <w:rPr>
          <w:color w:val="000000"/>
          <w:highlight w:val="none"/>
        </w:rPr>
        <w:t xml:space="preserve"> </w:t>
      </w:r>
      <w:r>
        <w:rPr>
          <w:rFonts w:hint="eastAsia"/>
          <w:color w:val="000000"/>
          <w:highlight w:val="none"/>
        </w:rPr>
        <w:t>，要求招标人对招标文件予以澄清。</w:t>
      </w:r>
    </w:p>
    <w:p w14:paraId="5114C6EC">
      <w:pPr>
        <w:spacing w:line="400" w:lineRule="exact"/>
        <w:ind w:firstLine="420" w:firstLineChars="200"/>
        <w:rPr>
          <w:color w:val="000000"/>
          <w:highlight w:val="none"/>
        </w:rPr>
      </w:pPr>
      <w:r>
        <w:rPr>
          <w:color w:val="000000"/>
          <w:highlight w:val="none"/>
        </w:rPr>
        <w:t xml:space="preserve">2.2.2 </w:t>
      </w:r>
      <w:r>
        <w:rPr>
          <w:rFonts w:hint="eastAsia"/>
          <w:color w:val="000000"/>
          <w:highlight w:val="none"/>
        </w:rPr>
        <w:t>招标文件的澄清将在投标人须知前附表规定的投标截止时间</w:t>
      </w:r>
      <w:r>
        <w:rPr>
          <w:color w:val="000000"/>
          <w:highlight w:val="none"/>
        </w:rPr>
        <w:t>10</w:t>
      </w:r>
      <w:r>
        <w:rPr>
          <w:rFonts w:hint="eastAsia"/>
          <w:color w:val="000000"/>
          <w:highlight w:val="none"/>
        </w:rPr>
        <w:t>天前通过全国公共资源交易平台（河南省</w:t>
      </w:r>
      <w:r>
        <w:rPr>
          <w:rFonts w:hint="eastAsia" w:ascii="MS Gothic" w:hAnsi="MS Gothic" w:eastAsia="MS Gothic" w:cs="MS Gothic"/>
          <w:color w:val="000000"/>
          <w:highlight w:val="none"/>
        </w:rPr>
        <w:t>▪</w:t>
      </w:r>
      <w:r>
        <w:rPr>
          <w:rFonts w:hint="eastAsia" w:ascii="宋体" w:hAnsi="宋体" w:cs="宋体"/>
          <w:color w:val="000000"/>
          <w:highlight w:val="none"/>
        </w:rPr>
        <w:t>平顶山市</w:t>
      </w:r>
      <w:r>
        <w:rPr>
          <w:color w:val="000000"/>
          <w:highlight w:val="none"/>
        </w:rPr>
        <w:t>)</w:t>
      </w:r>
      <w:r>
        <w:rPr>
          <w:rFonts w:hint="eastAsia"/>
          <w:color w:val="000000"/>
          <w:highlight w:val="none"/>
        </w:rPr>
        <w:t>公共资源交易系统发给所有购买招标文件的投标人，但不指明澄清问题的来源。如果澄清发出的时间距投标截止时间不足</w:t>
      </w:r>
      <w:r>
        <w:rPr>
          <w:color w:val="000000"/>
          <w:highlight w:val="none"/>
        </w:rPr>
        <w:t>15</w:t>
      </w:r>
      <w:r>
        <w:rPr>
          <w:rFonts w:hint="eastAsia"/>
          <w:color w:val="000000"/>
          <w:highlight w:val="none"/>
        </w:rPr>
        <w:t>天，相应延长投标截止时间。</w:t>
      </w:r>
    </w:p>
    <w:p w14:paraId="6DD0D591">
      <w:pPr>
        <w:spacing w:line="400" w:lineRule="exact"/>
        <w:ind w:firstLine="420" w:firstLineChars="200"/>
        <w:rPr>
          <w:color w:val="000000"/>
          <w:highlight w:val="none"/>
        </w:rPr>
      </w:pPr>
      <w:r>
        <w:rPr>
          <w:color w:val="000000"/>
          <w:highlight w:val="none"/>
        </w:rPr>
        <w:t>2.2.3</w:t>
      </w:r>
      <w:r>
        <w:rPr>
          <w:rFonts w:hint="eastAsia"/>
          <w:color w:val="000000"/>
          <w:highlight w:val="none"/>
        </w:rPr>
        <w:t>投标人应仔细查阅招标文件、工程量清单及施工图纸，如有工程量清单特征描述不明确或者漏项缺项问题时，须至少在投标截止</w:t>
      </w:r>
      <w:r>
        <w:rPr>
          <w:color w:val="000000"/>
          <w:highlight w:val="none"/>
        </w:rPr>
        <w:t>10</w:t>
      </w:r>
      <w:r>
        <w:rPr>
          <w:rFonts w:hint="eastAsia"/>
          <w:color w:val="000000"/>
          <w:highlight w:val="none"/>
        </w:rPr>
        <w:t>日前通过电子交易系统向招标人、招标代理机构提出，否则视同包含在其他综合单价中，招标人不再单独列项支付。</w:t>
      </w:r>
    </w:p>
    <w:p w14:paraId="64481B38">
      <w:pPr>
        <w:keepNext/>
        <w:keepLines/>
        <w:spacing w:line="400" w:lineRule="exact"/>
        <w:outlineLvl w:val="2"/>
        <w:rPr>
          <w:rFonts w:eastAsia="黑体" w:cs="宋体"/>
          <w:color w:val="000000"/>
          <w:sz w:val="24"/>
          <w:szCs w:val="20"/>
          <w:highlight w:val="none"/>
        </w:rPr>
      </w:pPr>
      <w:r>
        <w:rPr>
          <w:rFonts w:eastAsia="黑体" w:cs="宋体"/>
          <w:color w:val="000000"/>
          <w:sz w:val="24"/>
          <w:szCs w:val="20"/>
          <w:highlight w:val="none"/>
        </w:rPr>
        <w:t xml:space="preserve">2.3 </w:t>
      </w:r>
      <w:r>
        <w:rPr>
          <w:rFonts w:hint="eastAsia" w:eastAsia="黑体" w:cs="宋体"/>
          <w:color w:val="000000"/>
          <w:sz w:val="24"/>
          <w:szCs w:val="20"/>
          <w:highlight w:val="none"/>
        </w:rPr>
        <w:t>招标文件的修改</w:t>
      </w:r>
      <w:bookmarkEnd w:id="68"/>
      <w:bookmarkEnd w:id="69"/>
      <w:bookmarkEnd w:id="70"/>
      <w:bookmarkEnd w:id="71"/>
    </w:p>
    <w:p w14:paraId="0D0B1238">
      <w:pPr>
        <w:spacing w:line="400" w:lineRule="exact"/>
        <w:ind w:firstLine="420" w:firstLineChars="200"/>
        <w:rPr>
          <w:color w:val="000000"/>
          <w:highlight w:val="none"/>
        </w:rPr>
      </w:pPr>
      <w:bookmarkStart w:id="72" w:name="_Toc152042322"/>
      <w:bookmarkStart w:id="73" w:name="_Toc152045546"/>
      <w:bookmarkStart w:id="74" w:name="_Toc179632564"/>
      <w:bookmarkStart w:id="75" w:name="_Toc144974514"/>
      <w:r>
        <w:rPr>
          <w:color w:val="000000"/>
          <w:highlight w:val="none"/>
        </w:rPr>
        <w:t xml:space="preserve">2.3.1 </w:t>
      </w:r>
      <w:r>
        <w:rPr>
          <w:rFonts w:hint="eastAsia"/>
          <w:color w:val="000000"/>
          <w:highlight w:val="none"/>
        </w:rPr>
        <w:t>在投标截止时间</w:t>
      </w:r>
      <w:r>
        <w:rPr>
          <w:color w:val="000000"/>
          <w:highlight w:val="none"/>
        </w:rPr>
        <w:t>15</w:t>
      </w:r>
      <w:r>
        <w:rPr>
          <w:rFonts w:hint="eastAsia"/>
          <w:color w:val="000000"/>
          <w:highlight w:val="none"/>
        </w:rPr>
        <w:t>天前，招标人可以通过全国公共资源交易平台（河南省</w:t>
      </w:r>
      <w:r>
        <w:rPr>
          <w:rFonts w:hint="eastAsia" w:ascii="MS Gothic" w:hAnsi="MS Gothic" w:eastAsia="MS Gothic" w:cs="MS Gothic"/>
          <w:color w:val="000000"/>
          <w:highlight w:val="none"/>
        </w:rPr>
        <w:t>▪</w:t>
      </w:r>
      <w:r>
        <w:rPr>
          <w:rFonts w:hint="eastAsia" w:ascii="宋体" w:hAnsi="宋体" w:cs="宋体"/>
          <w:color w:val="000000"/>
          <w:highlight w:val="none"/>
        </w:rPr>
        <w:t>平顶山市</w:t>
      </w:r>
      <w:r>
        <w:rPr>
          <w:color w:val="000000"/>
          <w:highlight w:val="none"/>
        </w:rPr>
        <w:t>)</w:t>
      </w:r>
      <w:r>
        <w:rPr>
          <w:rFonts w:hint="eastAsia"/>
          <w:color w:val="000000"/>
          <w:highlight w:val="none"/>
        </w:rPr>
        <w:t>公共资源交易系统</w:t>
      </w:r>
      <w:r>
        <w:rPr>
          <w:color w:val="000000"/>
          <w:highlight w:val="none"/>
        </w:rPr>
        <w:t xml:space="preserve"> </w:t>
      </w:r>
      <w:r>
        <w:rPr>
          <w:rFonts w:hint="eastAsia"/>
          <w:color w:val="000000"/>
          <w:highlight w:val="none"/>
        </w:rPr>
        <w:t>修改招标文件。如果修改招标文件的时间距投标截止时间不足</w:t>
      </w:r>
      <w:r>
        <w:rPr>
          <w:color w:val="000000"/>
          <w:highlight w:val="none"/>
        </w:rPr>
        <w:t>15</w:t>
      </w:r>
      <w:r>
        <w:rPr>
          <w:rFonts w:hint="eastAsia"/>
          <w:color w:val="000000"/>
          <w:highlight w:val="none"/>
        </w:rPr>
        <w:t>天，相应延长投标截止时间。</w:t>
      </w:r>
      <w:r>
        <w:rPr>
          <w:color w:val="000000"/>
          <w:highlight w:val="none"/>
        </w:rPr>
        <w:t xml:space="preserve"> </w:t>
      </w:r>
    </w:p>
    <w:p w14:paraId="45D6CFEC">
      <w:pPr>
        <w:keepNext/>
        <w:keepLines/>
        <w:spacing w:before="100" w:line="400" w:lineRule="exact"/>
        <w:outlineLvl w:val="1"/>
        <w:rPr>
          <w:rFonts w:eastAsia="黑体" w:cs="宋体"/>
          <w:color w:val="000000"/>
          <w:sz w:val="28"/>
          <w:szCs w:val="20"/>
          <w:highlight w:val="none"/>
        </w:rPr>
      </w:pPr>
      <w:bookmarkStart w:id="76" w:name="_Toc155799713"/>
      <w:bookmarkStart w:id="77" w:name="_Toc149833934"/>
      <w:r>
        <w:rPr>
          <w:rFonts w:eastAsia="黑体" w:cs="宋体"/>
          <w:color w:val="000000"/>
          <w:sz w:val="28"/>
          <w:szCs w:val="20"/>
          <w:highlight w:val="none"/>
        </w:rPr>
        <w:t xml:space="preserve">3. </w:t>
      </w:r>
      <w:r>
        <w:rPr>
          <w:rFonts w:hint="eastAsia" w:eastAsia="黑体" w:cs="宋体"/>
          <w:color w:val="000000"/>
          <w:sz w:val="28"/>
          <w:szCs w:val="20"/>
          <w:highlight w:val="none"/>
        </w:rPr>
        <w:t>投标文件</w:t>
      </w:r>
      <w:bookmarkEnd w:id="72"/>
      <w:bookmarkEnd w:id="73"/>
      <w:bookmarkEnd w:id="74"/>
      <w:bookmarkEnd w:id="75"/>
      <w:bookmarkEnd w:id="76"/>
      <w:bookmarkEnd w:id="77"/>
    </w:p>
    <w:p w14:paraId="2AA91C6A">
      <w:pPr>
        <w:keepNext/>
        <w:keepLines/>
        <w:spacing w:line="400" w:lineRule="exact"/>
        <w:outlineLvl w:val="2"/>
        <w:rPr>
          <w:rFonts w:eastAsia="黑体" w:cs="宋体"/>
          <w:color w:val="000000"/>
          <w:sz w:val="24"/>
          <w:szCs w:val="20"/>
          <w:highlight w:val="none"/>
        </w:rPr>
      </w:pPr>
      <w:bookmarkStart w:id="78" w:name="_Toc152045547"/>
      <w:bookmarkStart w:id="79" w:name="_Toc144974515"/>
      <w:bookmarkStart w:id="80" w:name="_Toc179632565"/>
      <w:bookmarkStart w:id="81" w:name="_Toc152042323"/>
      <w:r>
        <w:rPr>
          <w:rFonts w:eastAsia="黑体" w:cs="宋体"/>
          <w:color w:val="000000"/>
          <w:sz w:val="24"/>
          <w:szCs w:val="20"/>
          <w:highlight w:val="none"/>
        </w:rPr>
        <w:t xml:space="preserve">3.1 </w:t>
      </w:r>
      <w:r>
        <w:rPr>
          <w:rFonts w:hint="eastAsia" w:eastAsia="黑体" w:cs="宋体"/>
          <w:color w:val="000000"/>
          <w:sz w:val="24"/>
          <w:szCs w:val="20"/>
          <w:highlight w:val="none"/>
        </w:rPr>
        <w:t>投标文件的组成</w:t>
      </w:r>
      <w:bookmarkEnd w:id="78"/>
      <w:bookmarkEnd w:id="79"/>
      <w:bookmarkEnd w:id="80"/>
      <w:bookmarkEnd w:id="81"/>
    </w:p>
    <w:p w14:paraId="14C0AADC">
      <w:pPr>
        <w:spacing w:line="400" w:lineRule="exact"/>
        <w:rPr>
          <w:color w:val="000000"/>
          <w:highlight w:val="none"/>
        </w:rPr>
      </w:pPr>
      <w:r>
        <w:rPr>
          <w:rFonts w:hint="eastAsia"/>
          <w:color w:val="000000"/>
          <w:highlight w:val="none"/>
        </w:rPr>
        <w:t>　　</w:t>
      </w:r>
      <w:r>
        <w:rPr>
          <w:color w:val="000000"/>
          <w:highlight w:val="none"/>
        </w:rPr>
        <w:t>3.1.1</w:t>
      </w:r>
      <w:r>
        <w:rPr>
          <w:rFonts w:hint="eastAsia"/>
          <w:color w:val="000000"/>
          <w:highlight w:val="none"/>
        </w:rPr>
        <w:t>投标文件应包括下列内容：</w:t>
      </w:r>
    </w:p>
    <w:p w14:paraId="05D3392A">
      <w:pPr>
        <w:spacing w:line="400" w:lineRule="exact"/>
        <w:ind w:firstLine="359" w:firstLineChars="171"/>
        <w:rPr>
          <w:color w:val="000000"/>
          <w:highlight w:val="none"/>
        </w:rPr>
      </w:pPr>
      <w:r>
        <w:rPr>
          <w:rFonts w:hint="eastAsia"/>
          <w:color w:val="000000"/>
          <w:highlight w:val="none"/>
        </w:rPr>
        <w:t>一、投标函及投标函附录；</w:t>
      </w:r>
    </w:p>
    <w:p w14:paraId="2EAC1391">
      <w:pPr>
        <w:spacing w:line="400" w:lineRule="exact"/>
        <w:ind w:firstLine="359" w:firstLineChars="171"/>
        <w:rPr>
          <w:color w:val="000000"/>
          <w:highlight w:val="none"/>
        </w:rPr>
      </w:pPr>
      <w:r>
        <w:rPr>
          <w:rFonts w:hint="eastAsia"/>
          <w:color w:val="000000"/>
          <w:highlight w:val="none"/>
        </w:rPr>
        <w:t>二、法定代表人身份证明；</w:t>
      </w:r>
    </w:p>
    <w:p w14:paraId="62864A19">
      <w:pPr>
        <w:spacing w:line="400" w:lineRule="exact"/>
        <w:ind w:firstLine="359" w:firstLineChars="171"/>
        <w:rPr>
          <w:color w:val="000000"/>
          <w:highlight w:val="none"/>
        </w:rPr>
      </w:pPr>
      <w:r>
        <w:rPr>
          <w:rFonts w:hint="eastAsia"/>
          <w:color w:val="000000"/>
          <w:highlight w:val="none"/>
        </w:rPr>
        <w:t>三、法定代表人授权委托书；</w:t>
      </w:r>
    </w:p>
    <w:p w14:paraId="41696829">
      <w:pPr>
        <w:spacing w:line="400" w:lineRule="exact"/>
        <w:ind w:firstLine="359" w:firstLineChars="171"/>
        <w:rPr>
          <w:color w:val="000000"/>
          <w:highlight w:val="none"/>
        </w:rPr>
      </w:pPr>
      <w:r>
        <w:rPr>
          <w:rFonts w:hint="eastAsia"/>
          <w:color w:val="000000"/>
          <w:highlight w:val="none"/>
        </w:rPr>
        <w:t>四、已标价工程量清单；</w:t>
      </w:r>
    </w:p>
    <w:p w14:paraId="702FF1BC">
      <w:pPr>
        <w:spacing w:line="400" w:lineRule="exact"/>
        <w:ind w:firstLine="359" w:firstLineChars="171"/>
        <w:rPr>
          <w:color w:val="000000"/>
          <w:highlight w:val="none"/>
        </w:rPr>
      </w:pPr>
      <w:r>
        <w:rPr>
          <w:rFonts w:hint="eastAsia"/>
          <w:color w:val="000000"/>
          <w:highlight w:val="none"/>
        </w:rPr>
        <w:t>五、实质性条款承诺书；</w:t>
      </w:r>
    </w:p>
    <w:p w14:paraId="133B5ED4">
      <w:pPr>
        <w:spacing w:line="400" w:lineRule="exact"/>
        <w:ind w:firstLine="359" w:firstLineChars="171"/>
        <w:rPr>
          <w:color w:val="000000"/>
          <w:highlight w:val="none"/>
        </w:rPr>
      </w:pPr>
      <w:r>
        <w:rPr>
          <w:rFonts w:hint="eastAsia"/>
          <w:color w:val="000000"/>
          <w:highlight w:val="none"/>
        </w:rPr>
        <w:t>六、资格审查资料；</w:t>
      </w:r>
    </w:p>
    <w:p w14:paraId="6908D523">
      <w:pPr>
        <w:spacing w:line="400" w:lineRule="exact"/>
        <w:ind w:firstLine="359" w:firstLineChars="171"/>
        <w:rPr>
          <w:color w:val="000000"/>
          <w:highlight w:val="none"/>
        </w:rPr>
      </w:pPr>
      <w:r>
        <w:rPr>
          <w:rFonts w:hint="eastAsia"/>
          <w:color w:val="000000"/>
          <w:highlight w:val="none"/>
        </w:rPr>
        <w:t>七、项目管理机构；</w:t>
      </w:r>
    </w:p>
    <w:p w14:paraId="70C69A30">
      <w:pPr>
        <w:spacing w:line="400" w:lineRule="exact"/>
        <w:ind w:firstLine="359" w:firstLineChars="171"/>
        <w:rPr>
          <w:color w:val="000000"/>
          <w:highlight w:val="none"/>
        </w:rPr>
      </w:pPr>
      <w:r>
        <w:rPr>
          <w:rFonts w:hint="eastAsia"/>
          <w:color w:val="000000"/>
          <w:highlight w:val="none"/>
        </w:rPr>
        <w:t>八、施工组织设计；</w:t>
      </w:r>
    </w:p>
    <w:p w14:paraId="00962895">
      <w:pPr>
        <w:spacing w:line="400" w:lineRule="exact"/>
        <w:ind w:firstLine="359" w:firstLineChars="171"/>
        <w:rPr>
          <w:color w:val="000000"/>
          <w:highlight w:val="none"/>
        </w:rPr>
      </w:pPr>
      <w:r>
        <w:rPr>
          <w:rFonts w:hint="eastAsia"/>
          <w:color w:val="000000"/>
          <w:highlight w:val="none"/>
        </w:rPr>
        <w:t>九、其他材料。</w:t>
      </w:r>
    </w:p>
    <w:p w14:paraId="794ED7CF">
      <w:pPr>
        <w:keepNext/>
        <w:keepLines/>
        <w:spacing w:line="400" w:lineRule="exact"/>
        <w:outlineLvl w:val="2"/>
        <w:rPr>
          <w:rFonts w:eastAsia="黑体" w:cs="宋体"/>
          <w:color w:val="000000"/>
          <w:sz w:val="24"/>
          <w:szCs w:val="20"/>
          <w:highlight w:val="none"/>
        </w:rPr>
      </w:pPr>
      <w:bookmarkStart w:id="82" w:name="_Toc144974516"/>
      <w:bookmarkStart w:id="83" w:name="_Toc152042324"/>
      <w:bookmarkStart w:id="84" w:name="_Toc152045548"/>
      <w:bookmarkStart w:id="85" w:name="_Toc179632566"/>
      <w:r>
        <w:rPr>
          <w:rFonts w:eastAsia="黑体" w:cs="宋体"/>
          <w:color w:val="000000"/>
          <w:sz w:val="24"/>
          <w:szCs w:val="20"/>
          <w:highlight w:val="none"/>
        </w:rPr>
        <w:t xml:space="preserve">3.2 </w:t>
      </w:r>
      <w:r>
        <w:rPr>
          <w:rFonts w:hint="eastAsia" w:eastAsia="黑体" w:cs="宋体"/>
          <w:color w:val="000000"/>
          <w:sz w:val="24"/>
          <w:szCs w:val="20"/>
          <w:highlight w:val="none"/>
        </w:rPr>
        <w:t>投标报价</w:t>
      </w:r>
      <w:bookmarkEnd w:id="82"/>
      <w:bookmarkEnd w:id="83"/>
      <w:bookmarkEnd w:id="84"/>
      <w:bookmarkEnd w:id="85"/>
    </w:p>
    <w:p w14:paraId="13C278F9">
      <w:pPr>
        <w:spacing w:line="400" w:lineRule="exact"/>
        <w:ind w:firstLine="420" w:firstLineChars="200"/>
        <w:rPr>
          <w:color w:val="000000"/>
          <w:highlight w:val="none"/>
        </w:rPr>
      </w:pPr>
      <w:r>
        <w:rPr>
          <w:color w:val="000000"/>
          <w:highlight w:val="none"/>
        </w:rPr>
        <w:t xml:space="preserve">3.2.1 </w:t>
      </w:r>
      <w:r>
        <w:rPr>
          <w:rFonts w:hint="eastAsia"/>
          <w:color w:val="000000"/>
          <w:highlight w:val="none"/>
        </w:rPr>
        <w:t>投标人应按第五章“工程量清单”的要求填写相应表格。</w:t>
      </w:r>
    </w:p>
    <w:p w14:paraId="4959DEBB">
      <w:pPr>
        <w:spacing w:line="400" w:lineRule="exact"/>
        <w:ind w:firstLine="420" w:firstLineChars="200"/>
        <w:rPr>
          <w:color w:val="000000"/>
          <w:highlight w:val="none"/>
        </w:rPr>
      </w:pPr>
      <w:r>
        <w:rPr>
          <w:color w:val="000000"/>
          <w:highlight w:val="none"/>
        </w:rPr>
        <w:t xml:space="preserve">3.2.2 </w:t>
      </w:r>
      <w:r>
        <w:rPr>
          <w:rFonts w:hint="eastAsia"/>
          <w:color w:val="000000"/>
          <w:highlight w:val="none"/>
        </w:rPr>
        <w:t>投标人在投标截止时间前修改投标函中的投标总报价，应同时修改第五章“工程量清单”中的相应报价。此修改须符合本章第</w:t>
      </w:r>
      <w:r>
        <w:rPr>
          <w:color w:val="000000"/>
          <w:highlight w:val="none"/>
        </w:rPr>
        <w:t>4.</w:t>
      </w:r>
      <w:r>
        <w:rPr>
          <w:rFonts w:hint="eastAsia"/>
          <w:color w:val="000000"/>
          <w:highlight w:val="none"/>
        </w:rPr>
        <w:t>2款的有关要求。　</w:t>
      </w:r>
    </w:p>
    <w:p w14:paraId="26115319">
      <w:pPr>
        <w:spacing w:line="400" w:lineRule="exact"/>
        <w:ind w:firstLine="420" w:firstLineChars="200"/>
        <w:rPr>
          <w:color w:val="000000"/>
          <w:highlight w:val="none"/>
        </w:rPr>
      </w:pPr>
      <w:r>
        <w:rPr>
          <w:color w:val="000000"/>
          <w:highlight w:val="none"/>
        </w:rPr>
        <w:t>3.2.3</w:t>
      </w:r>
      <w:r>
        <w:rPr>
          <w:rFonts w:hint="eastAsia"/>
          <w:color w:val="000000"/>
          <w:highlight w:val="none"/>
        </w:rPr>
        <w:t>投标人自行勘察现场应充分了解施工场地的位置、施工现场状况、本项目招标范围及未完工程节点、周边环境以及影响投标报价等其他要素，结合公司及市场实际情况进行投标报价。　</w:t>
      </w:r>
    </w:p>
    <w:p w14:paraId="43501032">
      <w:pPr>
        <w:keepNext/>
        <w:keepLines/>
        <w:spacing w:line="400" w:lineRule="exact"/>
        <w:outlineLvl w:val="2"/>
        <w:rPr>
          <w:rFonts w:eastAsia="黑体" w:cs="宋体"/>
          <w:color w:val="000000"/>
          <w:sz w:val="24"/>
          <w:szCs w:val="20"/>
          <w:highlight w:val="none"/>
        </w:rPr>
      </w:pPr>
      <w:bookmarkStart w:id="86" w:name="_Toc179632567"/>
      <w:bookmarkStart w:id="87" w:name="_Toc152042325"/>
      <w:bookmarkStart w:id="88" w:name="_Toc144974517"/>
      <w:bookmarkStart w:id="89" w:name="_Toc152045549"/>
      <w:r>
        <w:rPr>
          <w:rFonts w:eastAsia="黑体" w:cs="宋体"/>
          <w:color w:val="000000"/>
          <w:sz w:val="24"/>
          <w:szCs w:val="20"/>
          <w:highlight w:val="none"/>
        </w:rPr>
        <w:t xml:space="preserve">3.3 </w:t>
      </w:r>
      <w:r>
        <w:rPr>
          <w:rFonts w:hint="eastAsia" w:eastAsia="黑体" w:cs="宋体"/>
          <w:color w:val="000000"/>
          <w:sz w:val="24"/>
          <w:szCs w:val="20"/>
          <w:highlight w:val="none"/>
        </w:rPr>
        <w:t>投标有效期</w:t>
      </w:r>
      <w:bookmarkEnd w:id="86"/>
      <w:bookmarkEnd w:id="87"/>
      <w:bookmarkEnd w:id="88"/>
      <w:bookmarkEnd w:id="89"/>
    </w:p>
    <w:p w14:paraId="351DDDFB">
      <w:pPr>
        <w:spacing w:line="400" w:lineRule="exact"/>
        <w:ind w:firstLine="420" w:firstLineChars="200"/>
        <w:rPr>
          <w:color w:val="000000"/>
          <w:highlight w:val="none"/>
        </w:rPr>
      </w:pPr>
      <w:r>
        <w:rPr>
          <w:color w:val="000000"/>
          <w:highlight w:val="none"/>
        </w:rPr>
        <w:t xml:space="preserve">3.3.1 </w:t>
      </w:r>
      <w:r>
        <w:rPr>
          <w:rFonts w:hint="eastAsia"/>
          <w:color w:val="000000"/>
          <w:highlight w:val="none"/>
        </w:rPr>
        <w:t>在投标人须知前附表规定的投标有效期内，投标人不得要求撤销或修改其投标文件。</w:t>
      </w:r>
    </w:p>
    <w:p w14:paraId="25D46B49">
      <w:pPr>
        <w:spacing w:line="400" w:lineRule="exact"/>
        <w:ind w:firstLine="420" w:firstLineChars="200"/>
        <w:rPr>
          <w:color w:val="000000"/>
          <w:highlight w:val="none"/>
        </w:rPr>
      </w:pPr>
      <w:r>
        <w:rPr>
          <w:color w:val="000000"/>
          <w:highlight w:val="none"/>
        </w:rPr>
        <w:t>3.3.2</w:t>
      </w:r>
      <w:r>
        <w:rPr>
          <w:rFonts w:hint="eastAsia"/>
          <w:color w:val="000000"/>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color w:val="000000"/>
          <w:highlight w:val="none"/>
        </w:rPr>
        <w:t xml:space="preserve"> </w:t>
      </w:r>
    </w:p>
    <w:p w14:paraId="79737FA7">
      <w:pPr>
        <w:keepNext/>
        <w:keepLines/>
        <w:spacing w:line="400" w:lineRule="exact"/>
        <w:outlineLvl w:val="2"/>
        <w:rPr>
          <w:rFonts w:eastAsia="黑体" w:cs="宋体"/>
          <w:color w:val="000000"/>
          <w:sz w:val="24"/>
          <w:szCs w:val="20"/>
          <w:highlight w:val="none"/>
        </w:rPr>
      </w:pPr>
      <w:bookmarkStart w:id="90" w:name="_Toc152042326"/>
      <w:bookmarkStart w:id="91" w:name="_Toc152045550"/>
      <w:bookmarkStart w:id="92" w:name="_Toc179632568"/>
      <w:bookmarkStart w:id="93" w:name="_Toc144974518"/>
      <w:r>
        <w:rPr>
          <w:rFonts w:eastAsia="黑体" w:cs="宋体"/>
          <w:color w:val="000000"/>
          <w:sz w:val="24"/>
          <w:szCs w:val="20"/>
          <w:highlight w:val="none"/>
        </w:rPr>
        <w:t xml:space="preserve">3.4 </w:t>
      </w:r>
      <w:r>
        <w:rPr>
          <w:rFonts w:hint="eastAsia" w:eastAsia="黑体" w:cs="宋体"/>
          <w:color w:val="000000"/>
          <w:sz w:val="24"/>
          <w:szCs w:val="20"/>
          <w:highlight w:val="none"/>
        </w:rPr>
        <w:t>投标保证金</w:t>
      </w:r>
      <w:bookmarkEnd w:id="90"/>
      <w:bookmarkEnd w:id="91"/>
      <w:bookmarkEnd w:id="92"/>
      <w:bookmarkEnd w:id="93"/>
    </w:p>
    <w:p w14:paraId="1E642941">
      <w:pPr>
        <w:spacing w:line="360" w:lineRule="auto"/>
        <w:ind w:firstLine="420" w:firstLineChars="200"/>
        <w:rPr>
          <w:rFonts w:ascii="宋体" w:hAnsi="宋体"/>
          <w:color w:val="000000"/>
          <w:szCs w:val="21"/>
          <w:highlight w:val="none"/>
        </w:rPr>
      </w:pPr>
      <w:bookmarkStart w:id="94" w:name="_Toc152045551"/>
      <w:bookmarkStart w:id="95" w:name="_Toc144974519"/>
      <w:bookmarkStart w:id="96" w:name="_Toc152042327"/>
      <w:bookmarkStart w:id="97" w:name="_Toc179632569"/>
      <w:r>
        <w:rPr>
          <w:rFonts w:hint="eastAsia" w:ascii="宋体" w:hAnsi="宋体"/>
          <w:color w:val="000000"/>
          <w:szCs w:val="21"/>
          <w:highlight w:val="none"/>
        </w:rPr>
        <w:t>3.4.1 投标人在递交投标文件截止之日前，应按投标人须知前附表规定的金额、形式递交投标保证金，并作为其投标文件的组成部分。</w:t>
      </w:r>
    </w:p>
    <w:p w14:paraId="4E5295F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3.4.2 投标人未按本章第3.4.1 项要求提交投标保证金的，取消投标资格。</w:t>
      </w:r>
    </w:p>
    <w:p w14:paraId="2EC9F47A">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3.4.3 招标人与中标人签订合同后5日内，向未中标的投标人和中标人退还投标保证金。</w:t>
      </w:r>
    </w:p>
    <w:p w14:paraId="4B1B6AEE">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3.4.4 有下列情形之一的，投标保证金将不予退还： </w:t>
      </w:r>
    </w:p>
    <w:p w14:paraId="5232A96C">
      <w:pPr>
        <w:spacing w:line="400" w:lineRule="exact"/>
        <w:ind w:firstLine="718" w:firstLineChars="342"/>
        <w:rPr>
          <w:rFonts w:hint="eastAsia" w:ascii="宋体" w:hAnsi="宋体"/>
          <w:color w:val="000000"/>
          <w:szCs w:val="21"/>
          <w:highlight w:val="none"/>
        </w:rPr>
      </w:pPr>
      <w:r>
        <w:rPr>
          <w:rFonts w:hint="eastAsia" w:ascii="宋体" w:hAnsi="宋体"/>
          <w:color w:val="000000"/>
          <w:szCs w:val="21"/>
          <w:highlight w:val="none"/>
        </w:rPr>
        <w:t>（1）投标人在规定的投标有效期内撤销或修改其投标文件；</w:t>
      </w:r>
    </w:p>
    <w:p w14:paraId="36C787F5">
      <w:pPr>
        <w:spacing w:line="360" w:lineRule="auto"/>
        <w:ind w:firstLine="735" w:firstLineChars="350"/>
        <w:rPr>
          <w:rFonts w:hint="eastAsia" w:ascii="宋体" w:hAnsi="宋体"/>
          <w:color w:val="000000"/>
          <w:szCs w:val="21"/>
          <w:highlight w:val="none"/>
        </w:rPr>
      </w:pPr>
      <w:r>
        <w:rPr>
          <w:rFonts w:hint="eastAsia" w:ascii="宋体" w:hAnsi="宋体"/>
          <w:color w:val="000000"/>
          <w:szCs w:val="21"/>
          <w:highlight w:val="none"/>
        </w:rPr>
        <w:t>（2）中标人在收到中标通知书后，无正当理由拒签合同协议书或未按招标文件规定提交履约担保。</w:t>
      </w:r>
    </w:p>
    <w:bookmarkEnd w:id="94"/>
    <w:bookmarkEnd w:id="95"/>
    <w:bookmarkEnd w:id="96"/>
    <w:bookmarkEnd w:id="97"/>
    <w:p w14:paraId="09D6A930">
      <w:pPr>
        <w:keepNext/>
        <w:keepLines/>
        <w:spacing w:line="400" w:lineRule="exact"/>
        <w:outlineLvl w:val="2"/>
        <w:rPr>
          <w:rFonts w:hint="eastAsia" w:eastAsia="黑体" w:cs="宋体"/>
          <w:color w:val="000000"/>
          <w:sz w:val="24"/>
          <w:szCs w:val="20"/>
          <w:highlight w:val="none"/>
        </w:rPr>
      </w:pPr>
      <w:bookmarkStart w:id="98" w:name="_Toc152042328"/>
      <w:bookmarkStart w:id="99" w:name="_Toc152045552"/>
      <w:bookmarkStart w:id="100" w:name="_Toc179632570"/>
      <w:bookmarkStart w:id="101" w:name="_Toc144974520"/>
      <w:r>
        <w:rPr>
          <w:rFonts w:eastAsia="黑体" w:cs="宋体"/>
          <w:color w:val="000000"/>
          <w:sz w:val="24"/>
          <w:szCs w:val="20"/>
          <w:highlight w:val="none"/>
        </w:rPr>
        <w:t xml:space="preserve">3.5 </w:t>
      </w:r>
      <w:r>
        <w:rPr>
          <w:rFonts w:hint="eastAsia" w:eastAsia="黑体" w:cs="宋体"/>
          <w:color w:val="000000"/>
          <w:sz w:val="24"/>
          <w:szCs w:val="20"/>
          <w:highlight w:val="none"/>
        </w:rPr>
        <w:t>资格审查资料</w:t>
      </w:r>
      <w:bookmarkEnd w:id="98"/>
      <w:bookmarkEnd w:id="99"/>
      <w:bookmarkEnd w:id="100"/>
      <w:bookmarkEnd w:id="101"/>
    </w:p>
    <w:p w14:paraId="03CC5411">
      <w:pPr>
        <w:spacing w:line="400" w:lineRule="exact"/>
        <w:ind w:firstLine="420" w:firstLineChars="200"/>
        <w:rPr>
          <w:color w:val="000000"/>
          <w:highlight w:val="none"/>
        </w:rPr>
      </w:pPr>
      <w:r>
        <w:rPr>
          <w:color w:val="000000"/>
          <w:highlight w:val="none"/>
        </w:rPr>
        <w:t xml:space="preserve">3.5.1 </w:t>
      </w:r>
      <w:r>
        <w:rPr>
          <w:rFonts w:hint="eastAsia"/>
          <w:color w:val="000000"/>
          <w:highlight w:val="none"/>
        </w:rPr>
        <w:t>“投标人基本情况表”</w:t>
      </w:r>
      <w:r>
        <w:rPr>
          <w:color w:val="000000"/>
          <w:highlight w:val="none"/>
        </w:rPr>
        <w:t xml:space="preserve"> </w:t>
      </w:r>
      <w:r>
        <w:rPr>
          <w:rFonts w:hint="eastAsia"/>
          <w:color w:val="000000"/>
          <w:highlight w:val="none"/>
        </w:rPr>
        <w:t>具体要求见投标人须知前附表。</w:t>
      </w:r>
    </w:p>
    <w:p w14:paraId="514EF2D1">
      <w:pPr>
        <w:spacing w:line="400" w:lineRule="exact"/>
        <w:ind w:firstLine="420" w:firstLineChars="200"/>
        <w:rPr>
          <w:bCs/>
          <w:color w:val="000000"/>
          <w:highlight w:val="none"/>
        </w:rPr>
      </w:pPr>
      <w:r>
        <w:rPr>
          <w:bCs/>
          <w:color w:val="000000"/>
          <w:highlight w:val="none"/>
        </w:rPr>
        <w:t xml:space="preserve">3.5.2 </w:t>
      </w:r>
      <w:r>
        <w:rPr>
          <w:rFonts w:hint="eastAsia"/>
          <w:bCs/>
          <w:color w:val="000000"/>
          <w:highlight w:val="none"/>
        </w:rPr>
        <w:t>“近年财务状况表”，具体要求见投标人须知前附表。</w:t>
      </w:r>
    </w:p>
    <w:p w14:paraId="244349A9">
      <w:pPr>
        <w:spacing w:line="400" w:lineRule="exact"/>
        <w:ind w:firstLine="420" w:firstLineChars="200"/>
        <w:rPr>
          <w:color w:val="000000"/>
          <w:highlight w:val="none"/>
        </w:rPr>
      </w:pPr>
      <w:r>
        <w:rPr>
          <w:color w:val="000000"/>
          <w:highlight w:val="none"/>
        </w:rPr>
        <w:t xml:space="preserve">3.5.3 </w:t>
      </w:r>
      <w:r>
        <w:rPr>
          <w:rFonts w:hint="eastAsia"/>
          <w:color w:val="000000"/>
          <w:highlight w:val="none"/>
        </w:rPr>
        <w:t>“近年类似项目情况表”，具体要求见投标人须知前附表。</w:t>
      </w:r>
    </w:p>
    <w:p w14:paraId="4CFADFCB">
      <w:pPr>
        <w:spacing w:line="400" w:lineRule="exact"/>
        <w:ind w:firstLine="420" w:firstLineChars="200"/>
        <w:rPr>
          <w:color w:val="000000"/>
          <w:highlight w:val="none"/>
        </w:rPr>
      </w:pPr>
      <w:r>
        <w:rPr>
          <w:rFonts w:hint="eastAsia"/>
          <w:color w:val="000000"/>
          <w:highlight w:val="none"/>
        </w:rPr>
        <w:t>注：资格审查资料具体内容以招标文件第三章“评分办法”为准。</w:t>
      </w:r>
    </w:p>
    <w:p w14:paraId="0B3AC249">
      <w:pPr>
        <w:keepNext/>
        <w:keepLines/>
        <w:spacing w:line="400" w:lineRule="exact"/>
        <w:outlineLvl w:val="2"/>
        <w:rPr>
          <w:rFonts w:eastAsia="黑体" w:cs="宋体"/>
          <w:color w:val="000000"/>
          <w:sz w:val="24"/>
          <w:szCs w:val="20"/>
          <w:highlight w:val="none"/>
        </w:rPr>
      </w:pPr>
      <w:bookmarkStart w:id="102" w:name="_Toc152042329"/>
      <w:bookmarkStart w:id="103" w:name="_Toc179632571"/>
      <w:bookmarkStart w:id="104" w:name="_Toc144974521"/>
      <w:bookmarkStart w:id="105" w:name="_Toc152045553"/>
      <w:r>
        <w:rPr>
          <w:rFonts w:eastAsia="黑体" w:cs="宋体"/>
          <w:color w:val="000000"/>
          <w:sz w:val="24"/>
          <w:szCs w:val="20"/>
          <w:highlight w:val="none"/>
        </w:rPr>
        <w:t xml:space="preserve">3.6 </w:t>
      </w:r>
      <w:r>
        <w:rPr>
          <w:rFonts w:hint="eastAsia" w:eastAsia="黑体" w:cs="宋体"/>
          <w:color w:val="000000"/>
          <w:sz w:val="24"/>
          <w:szCs w:val="20"/>
          <w:highlight w:val="none"/>
        </w:rPr>
        <w:t>备选投标方案</w:t>
      </w:r>
      <w:bookmarkEnd w:id="102"/>
      <w:bookmarkEnd w:id="103"/>
      <w:bookmarkEnd w:id="104"/>
      <w:bookmarkEnd w:id="105"/>
    </w:p>
    <w:p w14:paraId="2835077E">
      <w:pPr>
        <w:spacing w:line="400" w:lineRule="exact"/>
        <w:ind w:firstLine="420" w:firstLineChars="200"/>
        <w:rPr>
          <w:color w:val="000000"/>
          <w:highlight w:val="none"/>
        </w:rPr>
      </w:pPr>
      <w:r>
        <w:rPr>
          <w:rFonts w:hint="eastAsia"/>
          <w:color w:val="000000"/>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1DCF4FE3">
      <w:pPr>
        <w:keepNext/>
        <w:keepLines/>
        <w:spacing w:line="400" w:lineRule="exact"/>
        <w:outlineLvl w:val="2"/>
        <w:rPr>
          <w:rFonts w:eastAsia="黑体" w:cs="宋体"/>
          <w:color w:val="000000"/>
          <w:sz w:val="24"/>
          <w:szCs w:val="20"/>
          <w:highlight w:val="none"/>
        </w:rPr>
      </w:pPr>
      <w:bookmarkStart w:id="106" w:name="_Toc152042330"/>
      <w:bookmarkStart w:id="107" w:name="_Toc179632572"/>
      <w:bookmarkStart w:id="108" w:name="_Toc144974522"/>
      <w:bookmarkStart w:id="109" w:name="_Toc152045554"/>
      <w:r>
        <w:rPr>
          <w:rFonts w:eastAsia="黑体" w:cs="宋体"/>
          <w:color w:val="000000"/>
          <w:sz w:val="24"/>
          <w:szCs w:val="20"/>
          <w:highlight w:val="none"/>
        </w:rPr>
        <w:t xml:space="preserve">3.7 </w:t>
      </w:r>
      <w:r>
        <w:rPr>
          <w:rFonts w:hint="eastAsia" w:eastAsia="黑体" w:cs="宋体"/>
          <w:color w:val="000000"/>
          <w:sz w:val="24"/>
          <w:szCs w:val="20"/>
          <w:highlight w:val="none"/>
        </w:rPr>
        <w:t>投标文件的编制</w:t>
      </w:r>
      <w:bookmarkEnd w:id="106"/>
      <w:bookmarkEnd w:id="107"/>
      <w:bookmarkEnd w:id="108"/>
      <w:bookmarkEnd w:id="109"/>
    </w:p>
    <w:p w14:paraId="44AC90FB">
      <w:pPr>
        <w:spacing w:line="400" w:lineRule="exact"/>
        <w:ind w:firstLine="420" w:firstLineChars="200"/>
        <w:rPr>
          <w:color w:val="000000"/>
          <w:highlight w:val="none"/>
        </w:rPr>
      </w:pPr>
      <w:r>
        <w:rPr>
          <w:color w:val="000000"/>
          <w:highlight w:val="none"/>
        </w:rPr>
        <w:t>3.7.1</w:t>
      </w:r>
      <w:r>
        <w:rPr>
          <w:rFonts w:hint="eastAsia"/>
          <w:color w:val="000000"/>
          <w:highlight w:val="none"/>
        </w:rPr>
        <w:t>投标人登录《全国公共资源交易平台（河南省</w:t>
      </w:r>
      <w:r>
        <w:rPr>
          <w:color w:val="000000"/>
          <w:highlight w:val="none"/>
        </w:rPr>
        <w:t>▪</w:t>
      </w:r>
      <w:r>
        <w:rPr>
          <w:rFonts w:hint="eastAsia"/>
          <w:color w:val="000000"/>
          <w:highlight w:val="none"/>
        </w:rPr>
        <w:t>平顶山市</w:t>
      </w:r>
      <w:r>
        <w:rPr>
          <w:color w:val="000000"/>
          <w:highlight w:val="none"/>
        </w:rPr>
        <w:t>)</w:t>
      </w:r>
      <w:r>
        <w:rPr>
          <w:rFonts w:hint="eastAsia"/>
          <w:color w:val="000000"/>
          <w:highlight w:val="none"/>
        </w:rPr>
        <w:t>》公共资源交易系统下载“平顶山投标文件制作系统”，按招标文</w:t>
      </w:r>
      <w:r>
        <w:rPr>
          <w:color w:val="000000"/>
          <w:highlight w:val="none"/>
        </w:rPr>
        <w:t xml:space="preserve"> </w:t>
      </w:r>
      <w:r>
        <w:rPr>
          <w:rFonts w:hint="eastAsia"/>
          <w:color w:val="000000"/>
          <w:highlight w:val="none"/>
        </w:rPr>
        <w:t>件要求制作电子投标文件。</w:t>
      </w:r>
    </w:p>
    <w:p w14:paraId="285077AD">
      <w:pPr>
        <w:spacing w:line="400" w:lineRule="exact"/>
        <w:ind w:firstLine="420" w:firstLineChars="200"/>
        <w:rPr>
          <w:color w:val="000000"/>
          <w:szCs w:val="21"/>
          <w:highlight w:val="none"/>
        </w:rPr>
      </w:pPr>
      <w:r>
        <w:rPr>
          <w:color w:val="000000"/>
          <w:highlight w:val="none"/>
        </w:rPr>
        <w:t>3.7.2</w:t>
      </w:r>
      <w:r>
        <w:rPr>
          <w:rFonts w:hint="eastAsia"/>
          <w:color w:val="000000"/>
          <w:highlight w:val="none"/>
        </w:rPr>
        <w:t>电子投标文件的制作，参考《全国公共资源交易平台（河南省</w:t>
      </w:r>
      <w:r>
        <w:rPr>
          <w:color w:val="000000"/>
          <w:highlight w:val="none"/>
        </w:rPr>
        <w:t>▪</w:t>
      </w:r>
      <w:r>
        <w:rPr>
          <w:rFonts w:hint="eastAsia"/>
          <w:color w:val="000000"/>
          <w:highlight w:val="none"/>
        </w:rPr>
        <w:t>平顶山市</w:t>
      </w:r>
      <w:r>
        <w:rPr>
          <w:color w:val="000000"/>
          <w:highlight w:val="none"/>
        </w:rPr>
        <w:t>)</w:t>
      </w:r>
      <w:r>
        <w:rPr>
          <w:rFonts w:hint="eastAsia"/>
          <w:color w:val="000000"/>
          <w:highlight w:val="none"/>
        </w:rPr>
        <w:t>》公共资源交易系统——组件下载——交易系统操作手册（投标人、投标人）</w:t>
      </w:r>
      <w:r>
        <w:rPr>
          <w:rFonts w:hint="eastAsia"/>
          <w:color w:val="000000"/>
          <w:szCs w:val="21"/>
          <w:highlight w:val="none"/>
        </w:rPr>
        <w:t>。</w:t>
      </w:r>
    </w:p>
    <w:p w14:paraId="1DDA798F">
      <w:pPr>
        <w:spacing w:line="400" w:lineRule="exact"/>
        <w:ind w:firstLine="420" w:firstLineChars="200"/>
        <w:rPr>
          <w:color w:val="000000"/>
          <w:highlight w:val="none"/>
        </w:rPr>
      </w:pPr>
      <w:r>
        <w:rPr>
          <w:color w:val="000000"/>
          <w:highlight w:val="none"/>
        </w:rPr>
        <w:t>3.7.3</w:t>
      </w:r>
      <w:r>
        <w:rPr>
          <w:rFonts w:hint="eastAsia"/>
          <w:color w:val="000000"/>
          <w:highlight w:val="none"/>
        </w:rPr>
        <w:t>投标人对同一项目多个标段进行投标的，应分别下载所投标段的招标文件，按标段制作电子投标文件，并按招标文件要求在相应位置加盖投标人电子印章和法人电子印章。签字或盖章的具体要求见投标人须知前附表。</w:t>
      </w:r>
      <w:r>
        <w:rPr>
          <w:color w:val="000000"/>
          <w:highlight w:val="none"/>
        </w:rPr>
        <w:t xml:space="preserve"> </w:t>
      </w:r>
    </w:p>
    <w:p w14:paraId="5B9DF2A6">
      <w:pPr>
        <w:spacing w:line="400" w:lineRule="exact"/>
        <w:ind w:firstLine="420" w:firstLineChars="200"/>
        <w:rPr>
          <w:color w:val="000000"/>
          <w:highlight w:val="none"/>
        </w:rPr>
      </w:pPr>
      <w:r>
        <w:rPr>
          <w:color w:val="000000"/>
          <w:highlight w:val="none"/>
        </w:rPr>
        <w:t xml:space="preserve">3.7.4 </w:t>
      </w:r>
      <w:r>
        <w:rPr>
          <w:rFonts w:hint="eastAsia"/>
          <w:color w:val="000000"/>
          <w:highlight w:val="none"/>
        </w:rPr>
        <w:t>投标文件电子版份数见投标人须知前附表。</w:t>
      </w:r>
    </w:p>
    <w:p w14:paraId="7D50825F">
      <w:pPr>
        <w:keepNext/>
        <w:keepLines/>
        <w:spacing w:before="100" w:line="400" w:lineRule="exact"/>
        <w:outlineLvl w:val="1"/>
        <w:rPr>
          <w:rFonts w:eastAsia="黑体" w:cs="宋体"/>
          <w:color w:val="000000"/>
          <w:sz w:val="28"/>
          <w:szCs w:val="20"/>
          <w:highlight w:val="none"/>
        </w:rPr>
      </w:pPr>
      <w:bookmarkStart w:id="110" w:name="_Toc144974523"/>
      <w:bookmarkStart w:id="111" w:name="_Toc179632573"/>
      <w:bookmarkStart w:id="112" w:name="_Toc149833935"/>
      <w:bookmarkStart w:id="113" w:name="_Toc155799714"/>
      <w:bookmarkStart w:id="114" w:name="_Toc152042331"/>
      <w:bookmarkStart w:id="115" w:name="_Toc152045555"/>
      <w:r>
        <w:rPr>
          <w:rFonts w:eastAsia="黑体" w:cs="宋体"/>
          <w:color w:val="000000"/>
          <w:sz w:val="28"/>
          <w:szCs w:val="20"/>
          <w:highlight w:val="none"/>
        </w:rPr>
        <w:t xml:space="preserve">4. </w:t>
      </w:r>
      <w:r>
        <w:rPr>
          <w:rFonts w:hint="eastAsia" w:eastAsia="黑体" w:cs="宋体"/>
          <w:color w:val="000000"/>
          <w:sz w:val="28"/>
          <w:szCs w:val="20"/>
          <w:highlight w:val="none"/>
        </w:rPr>
        <w:t>投标</w:t>
      </w:r>
      <w:bookmarkEnd w:id="110"/>
      <w:bookmarkEnd w:id="111"/>
      <w:bookmarkEnd w:id="112"/>
      <w:bookmarkEnd w:id="113"/>
      <w:bookmarkEnd w:id="114"/>
      <w:bookmarkEnd w:id="115"/>
    </w:p>
    <w:p w14:paraId="3045E99C">
      <w:pPr>
        <w:keepNext/>
        <w:keepLines/>
        <w:spacing w:line="400" w:lineRule="exact"/>
        <w:outlineLvl w:val="2"/>
        <w:rPr>
          <w:rFonts w:eastAsia="黑体" w:cs="宋体"/>
          <w:color w:val="000000"/>
          <w:sz w:val="24"/>
          <w:szCs w:val="20"/>
          <w:highlight w:val="none"/>
        </w:rPr>
      </w:pPr>
      <w:bookmarkStart w:id="116" w:name="_Toc179632575"/>
      <w:bookmarkStart w:id="117" w:name="_Toc152045557"/>
      <w:bookmarkStart w:id="118" w:name="_Toc152042333"/>
      <w:bookmarkStart w:id="119" w:name="_Toc144974525"/>
      <w:r>
        <w:rPr>
          <w:rFonts w:eastAsia="黑体" w:cs="宋体"/>
          <w:color w:val="000000"/>
          <w:sz w:val="24"/>
          <w:szCs w:val="20"/>
          <w:highlight w:val="none"/>
        </w:rPr>
        <w:t xml:space="preserve">4.1 </w:t>
      </w:r>
      <w:r>
        <w:rPr>
          <w:rFonts w:hint="eastAsia" w:eastAsia="黑体" w:cs="宋体"/>
          <w:color w:val="000000"/>
          <w:sz w:val="24"/>
          <w:szCs w:val="20"/>
          <w:highlight w:val="none"/>
        </w:rPr>
        <w:t>投标文件的递交</w:t>
      </w:r>
      <w:bookmarkEnd w:id="116"/>
      <w:bookmarkEnd w:id="117"/>
      <w:bookmarkEnd w:id="118"/>
      <w:bookmarkEnd w:id="119"/>
    </w:p>
    <w:p w14:paraId="29D1F69D">
      <w:pPr>
        <w:spacing w:line="400" w:lineRule="exact"/>
        <w:ind w:firstLine="420" w:firstLineChars="200"/>
        <w:rPr>
          <w:color w:val="000000"/>
          <w:highlight w:val="none"/>
        </w:rPr>
      </w:pPr>
      <w:r>
        <w:rPr>
          <w:color w:val="000000"/>
          <w:highlight w:val="none"/>
        </w:rPr>
        <w:t>4.1.1</w:t>
      </w:r>
      <w:r>
        <w:rPr>
          <w:rFonts w:hint="eastAsia"/>
          <w:color w:val="000000"/>
          <w:highlight w:val="none"/>
        </w:rPr>
        <w:t>加密电子投标文件应在招标文件规定的投标截止时间（开标时间）之前成功提交至《全国公共资源交易平台（河南省</w:t>
      </w:r>
      <w:r>
        <w:rPr>
          <w:color w:val="000000"/>
          <w:highlight w:val="none"/>
        </w:rPr>
        <w:t>▪</w:t>
      </w:r>
      <w:r>
        <w:rPr>
          <w:rFonts w:hint="eastAsia"/>
          <w:color w:val="000000"/>
          <w:highlight w:val="none"/>
        </w:rPr>
        <w:t>平顶山市</w:t>
      </w:r>
      <w:r>
        <w:rPr>
          <w:color w:val="000000"/>
          <w:highlight w:val="none"/>
        </w:rPr>
        <w:t>)</w:t>
      </w:r>
      <w:r>
        <w:rPr>
          <w:rFonts w:hint="eastAsia"/>
          <w:color w:val="000000"/>
          <w:highlight w:val="none"/>
        </w:rPr>
        <w:t>》公共资源交易系统。</w:t>
      </w:r>
    </w:p>
    <w:p w14:paraId="4FD32322">
      <w:pPr>
        <w:spacing w:line="400" w:lineRule="exact"/>
        <w:ind w:firstLine="420" w:firstLineChars="200"/>
        <w:rPr>
          <w:color w:val="000000"/>
          <w:highlight w:val="none"/>
        </w:rPr>
      </w:pPr>
      <w:r>
        <w:rPr>
          <w:color w:val="000000"/>
          <w:highlight w:val="none"/>
        </w:rPr>
        <w:t xml:space="preserve">4.1.2 </w:t>
      </w:r>
      <w:r>
        <w:rPr>
          <w:rFonts w:hint="eastAsia"/>
          <w:color w:val="000000"/>
          <w:highlight w:val="none"/>
        </w:rPr>
        <w:t>除投标人须知前附表另有规定外，投标人所递交的投标文件不予退还。</w:t>
      </w:r>
    </w:p>
    <w:p w14:paraId="708F0E9F">
      <w:pPr>
        <w:spacing w:line="400" w:lineRule="exact"/>
        <w:ind w:firstLine="420" w:firstLineChars="200"/>
        <w:rPr>
          <w:color w:val="000000"/>
          <w:highlight w:val="none"/>
        </w:rPr>
      </w:pPr>
      <w:r>
        <w:rPr>
          <w:color w:val="000000"/>
          <w:highlight w:val="none"/>
        </w:rPr>
        <w:t>4.1.3</w:t>
      </w:r>
      <w:r>
        <w:rPr>
          <w:rFonts w:hint="eastAsia"/>
          <w:color w:val="000000"/>
          <w:highlight w:val="none"/>
        </w:rPr>
        <w:t>投标截止时间止，仍未上传成功的电子化投标文件将不予接收，招标人不予受理。</w:t>
      </w:r>
    </w:p>
    <w:p w14:paraId="076F85F4">
      <w:pPr>
        <w:keepNext/>
        <w:keepLines/>
        <w:spacing w:line="400" w:lineRule="exact"/>
        <w:outlineLvl w:val="2"/>
        <w:rPr>
          <w:rFonts w:eastAsia="黑体" w:cs="宋体"/>
          <w:color w:val="000000"/>
          <w:sz w:val="24"/>
          <w:szCs w:val="20"/>
          <w:highlight w:val="none"/>
        </w:rPr>
      </w:pPr>
      <w:bookmarkStart w:id="120" w:name="_Toc152042334"/>
      <w:bookmarkStart w:id="121" w:name="_Toc144974526"/>
      <w:bookmarkStart w:id="122" w:name="_Toc152045558"/>
      <w:bookmarkStart w:id="123" w:name="_Toc179632576"/>
      <w:r>
        <w:rPr>
          <w:rFonts w:eastAsia="黑体" w:cs="宋体"/>
          <w:color w:val="000000"/>
          <w:sz w:val="24"/>
          <w:szCs w:val="20"/>
          <w:highlight w:val="none"/>
        </w:rPr>
        <w:t xml:space="preserve">4.2 </w:t>
      </w:r>
      <w:r>
        <w:rPr>
          <w:rFonts w:hint="eastAsia" w:eastAsia="黑体" w:cs="宋体"/>
          <w:color w:val="000000"/>
          <w:sz w:val="24"/>
          <w:szCs w:val="20"/>
          <w:highlight w:val="none"/>
        </w:rPr>
        <w:t>投标文件的修改与撤回</w:t>
      </w:r>
      <w:bookmarkEnd w:id="120"/>
      <w:bookmarkEnd w:id="121"/>
      <w:bookmarkEnd w:id="122"/>
      <w:bookmarkEnd w:id="123"/>
    </w:p>
    <w:p w14:paraId="4809976B">
      <w:pPr>
        <w:spacing w:line="400" w:lineRule="exact"/>
        <w:ind w:firstLine="420" w:firstLineChars="200"/>
        <w:rPr>
          <w:color w:val="000000"/>
          <w:highlight w:val="none"/>
        </w:rPr>
      </w:pPr>
      <w:r>
        <w:rPr>
          <w:color w:val="000000"/>
          <w:highlight w:val="none"/>
        </w:rPr>
        <w:t xml:space="preserve">4.2.1 </w:t>
      </w:r>
      <w:r>
        <w:rPr>
          <w:rFonts w:hint="eastAsia"/>
          <w:color w:val="000000"/>
          <w:highlight w:val="none"/>
        </w:rPr>
        <w:t>在规定的投标截止时间前，投标人可以修改或撤回已递交的投标文件，但应在全国公共资源交易平台（河南省</w:t>
      </w:r>
      <w:r>
        <w:rPr>
          <w:color w:val="000000"/>
          <w:highlight w:val="none"/>
        </w:rPr>
        <w:t>▪</w:t>
      </w:r>
      <w:r>
        <w:rPr>
          <w:rFonts w:hint="eastAsia"/>
          <w:color w:val="000000"/>
          <w:highlight w:val="none"/>
        </w:rPr>
        <w:t>平顶山市</w:t>
      </w:r>
      <w:r>
        <w:rPr>
          <w:color w:val="000000"/>
          <w:highlight w:val="none"/>
        </w:rPr>
        <w:t>)</w:t>
      </w:r>
      <w:r>
        <w:rPr>
          <w:rFonts w:hint="eastAsia"/>
          <w:color w:val="000000"/>
          <w:highlight w:val="none"/>
        </w:rPr>
        <w:t>公共资源交易系统通知招标人。</w:t>
      </w:r>
    </w:p>
    <w:p w14:paraId="7F35DC06">
      <w:pPr>
        <w:spacing w:line="400" w:lineRule="exact"/>
        <w:ind w:firstLine="420" w:firstLineChars="200"/>
        <w:rPr>
          <w:color w:val="000000"/>
          <w:highlight w:val="none"/>
        </w:rPr>
      </w:pPr>
      <w:r>
        <w:rPr>
          <w:color w:val="000000"/>
          <w:highlight w:val="none"/>
        </w:rPr>
        <w:t xml:space="preserve">4.2.2 </w:t>
      </w:r>
      <w:r>
        <w:rPr>
          <w:rFonts w:hint="eastAsia"/>
          <w:color w:val="000000"/>
          <w:highlight w:val="none"/>
        </w:rPr>
        <w:t>投标人修改或撤回已递交投标文件的通知应按照本章第</w:t>
      </w:r>
      <w:r>
        <w:rPr>
          <w:color w:val="000000"/>
          <w:highlight w:val="none"/>
        </w:rPr>
        <w:t>3.7.3</w:t>
      </w:r>
      <w:r>
        <w:rPr>
          <w:rFonts w:hint="eastAsia"/>
          <w:color w:val="000000"/>
          <w:highlight w:val="none"/>
        </w:rPr>
        <w:t>项的要求签字或盖章。</w:t>
      </w:r>
    </w:p>
    <w:p w14:paraId="06D40CF7">
      <w:pPr>
        <w:spacing w:line="400" w:lineRule="exact"/>
        <w:ind w:firstLine="420" w:firstLineChars="200"/>
        <w:rPr>
          <w:color w:val="000000"/>
          <w:highlight w:val="none"/>
        </w:rPr>
      </w:pPr>
      <w:r>
        <w:rPr>
          <w:color w:val="000000"/>
          <w:highlight w:val="none"/>
        </w:rPr>
        <w:t xml:space="preserve">4.2.3 </w:t>
      </w:r>
      <w:r>
        <w:rPr>
          <w:rFonts w:hint="eastAsia"/>
          <w:color w:val="000000"/>
          <w:highlight w:val="none"/>
        </w:rPr>
        <w:t>修改的内容为投标文件的组成部分。</w:t>
      </w:r>
    </w:p>
    <w:p w14:paraId="5E7ABF05">
      <w:pPr>
        <w:keepNext/>
        <w:keepLines/>
        <w:spacing w:before="100" w:line="400" w:lineRule="exact"/>
        <w:outlineLvl w:val="1"/>
        <w:rPr>
          <w:rFonts w:eastAsia="黑体" w:cs="宋体"/>
          <w:color w:val="000000"/>
          <w:sz w:val="28"/>
          <w:szCs w:val="20"/>
          <w:highlight w:val="none"/>
        </w:rPr>
      </w:pPr>
      <w:bookmarkStart w:id="124" w:name="_Toc179632577"/>
      <w:bookmarkStart w:id="125" w:name="_Toc155799715"/>
      <w:bookmarkStart w:id="126" w:name="_Toc152045559"/>
      <w:bookmarkStart w:id="127" w:name="_Toc144974527"/>
      <w:bookmarkStart w:id="128" w:name="_Toc149833936"/>
      <w:bookmarkStart w:id="129" w:name="_Toc152042335"/>
      <w:r>
        <w:rPr>
          <w:rFonts w:eastAsia="黑体" w:cs="宋体"/>
          <w:color w:val="000000"/>
          <w:sz w:val="28"/>
          <w:szCs w:val="20"/>
          <w:highlight w:val="none"/>
        </w:rPr>
        <w:t xml:space="preserve">5. </w:t>
      </w:r>
      <w:r>
        <w:rPr>
          <w:rFonts w:hint="eastAsia" w:eastAsia="黑体" w:cs="宋体"/>
          <w:color w:val="000000"/>
          <w:sz w:val="28"/>
          <w:szCs w:val="20"/>
          <w:highlight w:val="none"/>
        </w:rPr>
        <w:t>开标</w:t>
      </w:r>
      <w:bookmarkEnd w:id="124"/>
      <w:bookmarkEnd w:id="125"/>
      <w:bookmarkEnd w:id="126"/>
      <w:bookmarkEnd w:id="127"/>
      <w:bookmarkEnd w:id="128"/>
      <w:bookmarkEnd w:id="129"/>
    </w:p>
    <w:p w14:paraId="0597A7B3">
      <w:pPr>
        <w:keepNext/>
        <w:keepLines/>
        <w:spacing w:line="400" w:lineRule="exact"/>
        <w:outlineLvl w:val="2"/>
        <w:rPr>
          <w:rFonts w:eastAsia="黑体" w:cs="宋体"/>
          <w:color w:val="000000"/>
          <w:sz w:val="24"/>
          <w:szCs w:val="20"/>
          <w:highlight w:val="none"/>
        </w:rPr>
      </w:pPr>
      <w:bookmarkStart w:id="130" w:name="_Toc152045560"/>
      <w:bookmarkStart w:id="131" w:name="_Toc152042336"/>
      <w:bookmarkStart w:id="132" w:name="_Toc179632578"/>
      <w:bookmarkStart w:id="133" w:name="_Toc144974528"/>
      <w:r>
        <w:rPr>
          <w:rFonts w:eastAsia="黑体" w:cs="宋体"/>
          <w:color w:val="000000"/>
          <w:sz w:val="24"/>
          <w:szCs w:val="20"/>
          <w:highlight w:val="none"/>
        </w:rPr>
        <w:t xml:space="preserve">5.1 </w:t>
      </w:r>
      <w:r>
        <w:rPr>
          <w:rFonts w:hint="eastAsia" w:eastAsia="黑体" w:cs="宋体"/>
          <w:color w:val="000000"/>
          <w:sz w:val="24"/>
          <w:szCs w:val="20"/>
          <w:highlight w:val="none"/>
        </w:rPr>
        <w:t>开标时间和地点</w:t>
      </w:r>
      <w:bookmarkEnd w:id="130"/>
      <w:bookmarkEnd w:id="131"/>
      <w:bookmarkEnd w:id="132"/>
      <w:bookmarkEnd w:id="133"/>
    </w:p>
    <w:p w14:paraId="19ACA702">
      <w:pPr>
        <w:autoSpaceDE w:val="0"/>
        <w:autoSpaceDN w:val="0"/>
        <w:adjustRightInd w:val="0"/>
        <w:spacing w:before="30" w:line="400" w:lineRule="exact"/>
        <w:ind w:right="-20" w:firstLine="525" w:firstLineChars="250"/>
        <w:jc w:val="left"/>
        <w:rPr>
          <w:rFonts w:ascii="宋体" w:hAnsi="宋体" w:cs="MingLiU"/>
          <w:color w:val="000000"/>
          <w:kern w:val="0"/>
          <w:szCs w:val="21"/>
          <w:highlight w:val="none"/>
        </w:rPr>
      </w:pPr>
      <w:bookmarkStart w:id="134" w:name="_Toc179632579"/>
      <w:bookmarkStart w:id="135" w:name="_Toc144974529"/>
      <w:bookmarkStart w:id="136" w:name="_Toc152042337"/>
      <w:bookmarkStart w:id="137" w:name="_Toc152045561"/>
      <w:r>
        <w:rPr>
          <w:rFonts w:hint="eastAsia" w:ascii="宋体" w:hAnsi="宋体" w:cs="MingLiU"/>
          <w:color w:val="000000"/>
          <w:kern w:val="0"/>
          <w:szCs w:val="21"/>
          <w:highlight w:val="none"/>
        </w:rPr>
        <w:t>开标时间：见投标人须知前附表。</w:t>
      </w:r>
    </w:p>
    <w:p w14:paraId="72F01B18">
      <w:pPr>
        <w:autoSpaceDE w:val="0"/>
        <w:autoSpaceDN w:val="0"/>
        <w:adjustRightInd w:val="0"/>
        <w:spacing w:before="30" w:line="400" w:lineRule="exact"/>
        <w:ind w:right="-20" w:firstLine="525" w:firstLineChars="250"/>
        <w:jc w:val="left"/>
        <w:rPr>
          <w:rFonts w:hint="eastAsia" w:ascii="宋体" w:hAnsi="宋体" w:cs="MingLiU"/>
          <w:color w:val="000000"/>
          <w:kern w:val="0"/>
          <w:szCs w:val="21"/>
          <w:highlight w:val="none"/>
        </w:rPr>
      </w:pPr>
      <w:r>
        <w:rPr>
          <w:rFonts w:hint="eastAsia" w:ascii="宋体" w:hAnsi="宋体" w:cs="MingLiU"/>
          <w:color w:val="000000"/>
          <w:kern w:val="0"/>
          <w:szCs w:val="21"/>
          <w:highlight w:val="none"/>
        </w:rPr>
        <w:t>开标地点：见投标人须知前附表。</w:t>
      </w:r>
    </w:p>
    <w:p w14:paraId="07D35972">
      <w:pPr>
        <w:keepLines/>
        <w:spacing w:line="400" w:lineRule="exact"/>
        <w:outlineLvl w:val="2"/>
        <w:rPr>
          <w:rFonts w:hint="eastAsia" w:eastAsia="黑体" w:cs="宋体"/>
          <w:color w:val="000000"/>
          <w:sz w:val="24"/>
          <w:szCs w:val="20"/>
          <w:highlight w:val="none"/>
        </w:rPr>
      </w:pPr>
      <w:r>
        <w:rPr>
          <w:rFonts w:eastAsia="黑体" w:cs="宋体"/>
          <w:color w:val="000000"/>
          <w:sz w:val="24"/>
          <w:szCs w:val="20"/>
          <w:highlight w:val="none"/>
        </w:rPr>
        <w:t xml:space="preserve">5.2 </w:t>
      </w:r>
      <w:r>
        <w:rPr>
          <w:rFonts w:hint="eastAsia" w:eastAsia="黑体" w:cs="宋体"/>
          <w:color w:val="000000"/>
          <w:sz w:val="24"/>
          <w:szCs w:val="20"/>
          <w:highlight w:val="none"/>
        </w:rPr>
        <w:t>开标程序</w:t>
      </w:r>
      <w:bookmarkEnd w:id="134"/>
      <w:bookmarkEnd w:id="135"/>
      <w:bookmarkEnd w:id="136"/>
      <w:bookmarkEnd w:id="137"/>
    </w:p>
    <w:p w14:paraId="24D261DA">
      <w:pPr>
        <w:autoSpaceDE w:val="0"/>
        <w:autoSpaceDN w:val="0"/>
        <w:adjustRightInd w:val="0"/>
        <w:spacing w:before="30" w:line="400" w:lineRule="exact"/>
        <w:ind w:right="-20" w:firstLine="525" w:firstLineChars="250"/>
        <w:jc w:val="left"/>
        <w:rPr>
          <w:rFonts w:ascii="宋体" w:hAnsi="宋体" w:cs="MingLiU"/>
          <w:color w:val="000000"/>
          <w:kern w:val="0"/>
          <w:szCs w:val="21"/>
          <w:highlight w:val="none"/>
        </w:rPr>
      </w:pPr>
      <w:bookmarkStart w:id="138" w:name="_Toc152045562"/>
      <w:bookmarkStart w:id="139" w:name="_Toc152042338"/>
      <w:bookmarkStart w:id="140" w:name="_Toc179632580"/>
      <w:bookmarkStart w:id="141" w:name="_Toc144974530"/>
      <w:r>
        <w:rPr>
          <w:rFonts w:hint="eastAsia" w:ascii="宋体" w:hAnsi="宋体" w:cs="MingLiU"/>
          <w:color w:val="000000"/>
          <w:kern w:val="0"/>
          <w:szCs w:val="21"/>
          <w:highlight w:val="none"/>
        </w:rPr>
        <w:t>5.2.1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所有投标文件解密完成后，由招标人（代理机构）操作，对开标结果进行公示。</w:t>
      </w:r>
    </w:p>
    <w:p w14:paraId="66B31046">
      <w:pPr>
        <w:autoSpaceDE w:val="0"/>
        <w:autoSpaceDN w:val="0"/>
        <w:adjustRightInd w:val="0"/>
        <w:spacing w:before="30" w:line="400" w:lineRule="exact"/>
        <w:ind w:right="-20" w:firstLine="525" w:firstLineChars="250"/>
        <w:jc w:val="left"/>
        <w:rPr>
          <w:rFonts w:hint="eastAsia" w:ascii="宋体" w:hAnsi="宋体" w:cs="MingLiU"/>
          <w:color w:val="000000"/>
          <w:kern w:val="0"/>
          <w:szCs w:val="21"/>
          <w:highlight w:val="none"/>
        </w:rPr>
      </w:pPr>
      <w:r>
        <w:rPr>
          <w:rFonts w:hint="eastAsia" w:ascii="宋体" w:hAnsi="宋体" w:cs="MingLiU"/>
          <w:color w:val="000000"/>
          <w:kern w:val="0"/>
          <w:szCs w:val="21"/>
          <w:highlight w:val="none"/>
        </w:rPr>
        <w:t>5.2.2 开标后，投标人如有异议，须按系统要求在规定时间内通过系统提出，否则视同该投标人承认开标记录，不得事后对开标记录提出任何异议。</w:t>
      </w:r>
    </w:p>
    <w:p w14:paraId="2DDD7027">
      <w:pPr>
        <w:autoSpaceDE w:val="0"/>
        <w:autoSpaceDN w:val="0"/>
        <w:adjustRightInd w:val="0"/>
        <w:spacing w:before="30" w:line="400" w:lineRule="exact"/>
        <w:ind w:right="-20" w:firstLine="525" w:firstLineChars="250"/>
        <w:jc w:val="left"/>
        <w:rPr>
          <w:rFonts w:hint="eastAsia" w:ascii="宋体" w:hAnsi="宋体" w:cs="MingLiU"/>
          <w:color w:val="000000"/>
          <w:kern w:val="0"/>
          <w:szCs w:val="21"/>
          <w:highlight w:val="none"/>
        </w:rPr>
      </w:pPr>
      <w:r>
        <w:rPr>
          <w:rFonts w:hint="eastAsia" w:ascii="宋体" w:hAnsi="宋体" w:cs="MingLiU"/>
          <w:color w:val="000000"/>
          <w:kern w:val="0"/>
          <w:szCs w:val="21"/>
          <w:highlight w:val="none"/>
        </w:rPr>
        <w:t>5.2.3因加密电子投标文件未能成功上传或误传而导致的解密失败，其投标将被拒绝。</w:t>
      </w:r>
    </w:p>
    <w:p w14:paraId="0257F765">
      <w:pPr>
        <w:autoSpaceDE w:val="0"/>
        <w:autoSpaceDN w:val="0"/>
        <w:adjustRightInd w:val="0"/>
        <w:spacing w:before="30" w:line="400" w:lineRule="exact"/>
        <w:ind w:right="-20" w:firstLine="525" w:firstLineChars="250"/>
        <w:jc w:val="left"/>
        <w:rPr>
          <w:rFonts w:hint="eastAsia" w:ascii="宋体" w:hAnsi="宋体" w:cs="MingLiU"/>
          <w:color w:val="000000"/>
          <w:kern w:val="0"/>
          <w:szCs w:val="21"/>
          <w:highlight w:val="none"/>
        </w:rPr>
      </w:pPr>
      <w:r>
        <w:rPr>
          <w:rFonts w:hint="eastAsia" w:ascii="宋体" w:hAnsi="宋体" w:cs="MingLiU"/>
          <w:color w:val="000000"/>
          <w:kern w:val="0"/>
          <w:szCs w:val="21"/>
          <w:highlight w:val="none"/>
        </w:rPr>
        <w:t>5.2.4开标时，招标代理机构将通过网上开标系统默认的顺序唱标，唱标内容包括投标人名称、投标价格以及其它有关内容。</w:t>
      </w:r>
    </w:p>
    <w:p w14:paraId="0879E2DE">
      <w:pPr>
        <w:keepNext/>
        <w:keepLines/>
        <w:spacing w:before="100" w:line="400" w:lineRule="exact"/>
        <w:outlineLvl w:val="1"/>
        <w:rPr>
          <w:rFonts w:hint="eastAsia" w:eastAsia="黑体" w:cs="宋体"/>
          <w:color w:val="000000"/>
          <w:sz w:val="28"/>
          <w:szCs w:val="20"/>
          <w:highlight w:val="none"/>
        </w:rPr>
      </w:pPr>
      <w:bookmarkStart w:id="142" w:name="_Toc149833937"/>
      <w:bookmarkStart w:id="143" w:name="_Toc155799716"/>
      <w:r>
        <w:rPr>
          <w:rFonts w:eastAsia="黑体" w:cs="宋体"/>
          <w:color w:val="000000"/>
          <w:sz w:val="28"/>
          <w:szCs w:val="20"/>
          <w:highlight w:val="none"/>
        </w:rPr>
        <w:t xml:space="preserve">6. </w:t>
      </w:r>
      <w:r>
        <w:rPr>
          <w:rFonts w:hint="eastAsia" w:eastAsia="黑体" w:cs="宋体"/>
          <w:color w:val="000000"/>
          <w:sz w:val="28"/>
          <w:szCs w:val="20"/>
          <w:highlight w:val="none"/>
        </w:rPr>
        <w:t>评标</w:t>
      </w:r>
      <w:bookmarkEnd w:id="138"/>
      <w:bookmarkEnd w:id="139"/>
      <w:bookmarkEnd w:id="140"/>
      <w:bookmarkEnd w:id="141"/>
      <w:bookmarkEnd w:id="142"/>
      <w:bookmarkEnd w:id="143"/>
    </w:p>
    <w:p w14:paraId="31993C26">
      <w:pPr>
        <w:keepNext/>
        <w:keepLines/>
        <w:spacing w:line="400" w:lineRule="exact"/>
        <w:outlineLvl w:val="2"/>
        <w:rPr>
          <w:rFonts w:eastAsia="黑体" w:cs="宋体"/>
          <w:color w:val="000000"/>
          <w:sz w:val="24"/>
          <w:szCs w:val="20"/>
          <w:highlight w:val="none"/>
        </w:rPr>
      </w:pPr>
      <w:bookmarkStart w:id="144" w:name="_Toc152045563"/>
      <w:bookmarkStart w:id="145" w:name="_Toc179632581"/>
      <w:bookmarkStart w:id="146" w:name="_Toc144974531"/>
      <w:bookmarkStart w:id="147" w:name="_Toc152042339"/>
      <w:r>
        <w:rPr>
          <w:rFonts w:eastAsia="黑体" w:cs="宋体"/>
          <w:color w:val="000000"/>
          <w:sz w:val="24"/>
          <w:szCs w:val="20"/>
          <w:highlight w:val="none"/>
        </w:rPr>
        <w:t xml:space="preserve">6.1 </w:t>
      </w:r>
      <w:r>
        <w:rPr>
          <w:rFonts w:hint="eastAsia" w:eastAsia="黑体" w:cs="宋体"/>
          <w:color w:val="000000"/>
          <w:sz w:val="24"/>
          <w:szCs w:val="20"/>
          <w:highlight w:val="none"/>
        </w:rPr>
        <w:t>评标委员会</w:t>
      </w:r>
      <w:bookmarkEnd w:id="144"/>
      <w:bookmarkEnd w:id="145"/>
      <w:bookmarkEnd w:id="146"/>
      <w:bookmarkEnd w:id="147"/>
    </w:p>
    <w:p w14:paraId="062D245B">
      <w:pPr>
        <w:spacing w:line="400" w:lineRule="exact"/>
        <w:ind w:firstLine="420" w:firstLineChars="200"/>
        <w:rPr>
          <w:color w:val="000000"/>
          <w:highlight w:val="none"/>
        </w:rPr>
      </w:pPr>
      <w:r>
        <w:rPr>
          <w:color w:val="000000"/>
          <w:highlight w:val="none"/>
        </w:rPr>
        <w:t xml:space="preserve">6.1.1 </w:t>
      </w:r>
      <w:r>
        <w:rPr>
          <w:rFonts w:hint="eastAsia"/>
          <w:color w:val="000000"/>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E85CF60">
      <w:pPr>
        <w:spacing w:line="400" w:lineRule="exact"/>
        <w:ind w:firstLine="420" w:firstLineChars="200"/>
        <w:rPr>
          <w:color w:val="000000"/>
          <w:highlight w:val="none"/>
        </w:rPr>
      </w:pPr>
      <w:r>
        <w:rPr>
          <w:color w:val="000000"/>
          <w:highlight w:val="none"/>
        </w:rPr>
        <w:t xml:space="preserve">6.1.2 </w:t>
      </w:r>
      <w:r>
        <w:rPr>
          <w:rFonts w:hint="eastAsia"/>
          <w:color w:val="000000"/>
          <w:highlight w:val="none"/>
        </w:rPr>
        <w:t>评标委员会成员有下列情形之一的，应当回避：</w:t>
      </w:r>
    </w:p>
    <w:p w14:paraId="74CB4DB3">
      <w:pPr>
        <w:spacing w:line="400" w:lineRule="exact"/>
        <w:ind w:firstLine="718" w:firstLineChars="342"/>
        <w:rPr>
          <w:color w:val="000000"/>
          <w:highlight w:val="none"/>
        </w:rPr>
      </w:pPr>
      <w:r>
        <w:rPr>
          <w:rFonts w:hint="eastAsia"/>
          <w:color w:val="000000"/>
          <w:highlight w:val="none"/>
        </w:rPr>
        <w:t>（</w:t>
      </w:r>
      <w:r>
        <w:rPr>
          <w:color w:val="000000"/>
          <w:highlight w:val="none"/>
        </w:rPr>
        <w:t>1</w:t>
      </w:r>
      <w:r>
        <w:rPr>
          <w:rFonts w:hint="eastAsia"/>
          <w:color w:val="000000"/>
          <w:highlight w:val="none"/>
        </w:rPr>
        <w:t>）招标人或投标人的主要负责人的近亲属；</w:t>
      </w:r>
    </w:p>
    <w:p w14:paraId="3E87CD35">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）项目主管部门或者行政监督部门的人员；</w:t>
      </w:r>
    </w:p>
    <w:p w14:paraId="70935EA8">
      <w:pPr>
        <w:spacing w:line="400" w:lineRule="exact"/>
        <w:ind w:firstLine="718" w:firstLineChars="342"/>
        <w:rPr>
          <w:color w:val="000000"/>
          <w:highlight w:val="none"/>
        </w:rPr>
      </w:pPr>
      <w:r>
        <w:rPr>
          <w:rFonts w:hint="eastAsia"/>
          <w:color w:val="000000"/>
          <w:highlight w:val="none"/>
        </w:rPr>
        <w:t>（</w:t>
      </w:r>
      <w:r>
        <w:rPr>
          <w:color w:val="000000"/>
          <w:highlight w:val="none"/>
        </w:rPr>
        <w:t>3</w:t>
      </w:r>
      <w:r>
        <w:rPr>
          <w:rFonts w:hint="eastAsia"/>
          <w:color w:val="000000"/>
          <w:highlight w:val="none"/>
        </w:rPr>
        <w:t>）与投标人有经济利益关系，可能影响对投标公正评审的；</w:t>
      </w:r>
    </w:p>
    <w:p w14:paraId="51BBBF3E">
      <w:pPr>
        <w:spacing w:line="400" w:lineRule="exact"/>
        <w:ind w:firstLine="718" w:firstLineChars="342"/>
        <w:rPr>
          <w:color w:val="000000"/>
          <w:highlight w:val="none"/>
        </w:rPr>
      </w:pPr>
      <w:r>
        <w:rPr>
          <w:rFonts w:hint="eastAsia"/>
          <w:color w:val="000000"/>
          <w:highlight w:val="none"/>
        </w:rPr>
        <w:t>（</w:t>
      </w:r>
      <w:r>
        <w:rPr>
          <w:color w:val="000000"/>
          <w:highlight w:val="none"/>
        </w:rPr>
        <w:t>4</w:t>
      </w:r>
      <w:r>
        <w:rPr>
          <w:rFonts w:hint="eastAsia"/>
          <w:color w:val="000000"/>
          <w:highlight w:val="none"/>
        </w:rPr>
        <w:t>）曾因在招标、评标以及其他与招标投标有关活动中从事违法行为而受过行政处罚或刑事处罚的。</w:t>
      </w:r>
    </w:p>
    <w:p w14:paraId="00A35F86">
      <w:pPr>
        <w:keepNext/>
        <w:keepLines/>
        <w:tabs>
          <w:tab w:val="left" w:pos="2620"/>
        </w:tabs>
        <w:spacing w:line="400" w:lineRule="exact"/>
        <w:outlineLvl w:val="2"/>
        <w:rPr>
          <w:rFonts w:eastAsia="黑体" w:cs="宋体"/>
          <w:color w:val="000000"/>
          <w:sz w:val="24"/>
          <w:szCs w:val="20"/>
          <w:highlight w:val="none"/>
        </w:rPr>
      </w:pPr>
      <w:bookmarkStart w:id="148" w:name="_Toc144974532"/>
      <w:bookmarkStart w:id="149" w:name="_Toc152042340"/>
      <w:bookmarkStart w:id="150" w:name="_Toc179632582"/>
      <w:bookmarkStart w:id="151" w:name="_Toc152045564"/>
      <w:r>
        <w:rPr>
          <w:rFonts w:eastAsia="黑体" w:cs="宋体"/>
          <w:color w:val="000000"/>
          <w:sz w:val="24"/>
          <w:szCs w:val="20"/>
          <w:highlight w:val="none"/>
        </w:rPr>
        <w:t xml:space="preserve">6.2 </w:t>
      </w:r>
      <w:r>
        <w:rPr>
          <w:rFonts w:hint="eastAsia" w:eastAsia="黑体" w:cs="宋体"/>
          <w:color w:val="000000"/>
          <w:sz w:val="24"/>
          <w:szCs w:val="20"/>
          <w:highlight w:val="none"/>
        </w:rPr>
        <w:t>评标原则</w:t>
      </w:r>
      <w:bookmarkEnd w:id="148"/>
      <w:bookmarkEnd w:id="149"/>
      <w:bookmarkEnd w:id="150"/>
      <w:bookmarkEnd w:id="151"/>
      <w:r>
        <w:rPr>
          <w:rFonts w:eastAsia="黑体" w:cs="宋体"/>
          <w:color w:val="000000"/>
          <w:sz w:val="24"/>
          <w:szCs w:val="20"/>
          <w:highlight w:val="none"/>
        </w:rPr>
        <w:tab/>
      </w:r>
    </w:p>
    <w:p w14:paraId="375B51AD">
      <w:pPr>
        <w:spacing w:line="400" w:lineRule="exact"/>
        <w:ind w:firstLine="420" w:firstLineChars="200"/>
        <w:rPr>
          <w:color w:val="000000"/>
          <w:highlight w:val="none"/>
        </w:rPr>
      </w:pPr>
      <w:r>
        <w:rPr>
          <w:rFonts w:hint="eastAsia"/>
          <w:color w:val="000000"/>
          <w:highlight w:val="none"/>
        </w:rPr>
        <w:t>评标活动遵循公平、公正、科学和择优的原则。</w:t>
      </w:r>
    </w:p>
    <w:p w14:paraId="7E4FB8ED">
      <w:pPr>
        <w:keepNext/>
        <w:keepLines/>
        <w:spacing w:line="400" w:lineRule="exact"/>
        <w:outlineLvl w:val="2"/>
        <w:rPr>
          <w:rFonts w:eastAsia="黑体" w:cs="宋体"/>
          <w:color w:val="000000"/>
          <w:sz w:val="24"/>
          <w:szCs w:val="20"/>
          <w:highlight w:val="none"/>
        </w:rPr>
      </w:pPr>
      <w:bookmarkStart w:id="152" w:name="_Toc144974533"/>
      <w:bookmarkStart w:id="153" w:name="_Toc152045565"/>
      <w:bookmarkStart w:id="154" w:name="_Toc152042341"/>
      <w:bookmarkStart w:id="155" w:name="_Toc179632583"/>
      <w:r>
        <w:rPr>
          <w:rFonts w:eastAsia="黑体" w:cs="宋体"/>
          <w:color w:val="000000"/>
          <w:sz w:val="24"/>
          <w:szCs w:val="20"/>
          <w:highlight w:val="none"/>
        </w:rPr>
        <w:t xml:space="preserve">6.3 </w:t>
      </w:r>
      <w:r>
        <w:rPr>
          <w:rFonts w:hint="eastAsia" w:eastAsia="黑体" w:cs="宋体"/>
          <w:color w:val="000000"/>
          <w:sz w:val="24"/>
          <w:szCs w:val="20"/>
          <w:highlight w:val="none"/>
        </w:rPr>
        <w:t>评标</w:t>
      </w:r>
      <w:bookmarkEnd w:id="152"/>
      <w:bookmarkEnd w:id="153"/>
      <w:bookmarkEnd w:id="154"/>
      <w:bookmarkEnd w:id="155"/>
    </w:p>
    <w:p w14:paraId="6CDDD651">
      <w:pPr>
        <w:spacing w:line="400" w:lineRule="exact"/>
        <w:ind w:firstLine="420" w:firstLineChars="200"/>
        <w:rPr>
          <w:color w:val="000000"/>
          <w:highlight w:val="none"/>
        </w:rPr>
      </w:pPr>
      <w:r>
        <w:rPr>
          <w:rFonts w:hint="eastAsia"/>
          <w:color w:val="000000"/>
          <w:highlight w:val="none"/>
        </w:rPr>
        <w:t>评标委员会按照第三章“评标办法”规定的方法、评审因素、标准和程序对投标文件进行评审。第三章“评标办法”没有规定的方法、评审因素和标准，不作为评标依据。</w:t>
      </w:r>
    </w:p>
    <w:p w14:paraId="2C855A3C">
      <w:pPr>
        <w:keepNext/>
        <w:keepLines/>
        <w:spacing w:before="100" w:line="400" w:lineRule="exact"/>
        <w:outlineLvl w:val="1"/>
        <w:rPr>
          <w:rFonts w:eastAsia="黑体" w:cs="宋体"/>
          <w:color w:val="000000"/>
          <w:sz w:val="28"/>
          <w:szCs w:val="20"/>
          <w:highlight w:val="none"/>
        </w:rPr>
      </w:pPr>
      <w:bookmarkStart w:id="156" w:name="_Toc152042342"/>
      <w:bookmarkStart w:id="157" w:name="_Toc144974534"/>
      <w:bookmarkStart w:id="158" w:name="_Toc155799717"/>
      <w:bookmarkStart w:id="159" w:name="_Toc179632584"/>
      <w:bookmarkStart w:id="160" w:name="_Toc152045566"/>
      <w:bookmarkStart w:id="161" w:name="_Toc149833938"/>
      <w:r>
        <w:rPr>
          <w:rFonts w:eastAsia="黑体" w:cs="宋体"/>
          <w:color w:val="000000"/>
          <w:sz w:val="28"/>
          <w:szCs w:val="20"/>
          <w:highlight w:val="none"/>
        </w:rPr>
        <w:t xml:space="preserve">7. </w:t>
      </w:r>
      <w:r>
        <w:rPr>
          <w:rFonts w:hint="eastAsia" w:eastAsia="黑体" w:cs="宋体"/>
          <w:color w:val="000000"/>
          <w:sz w:val="28"/>
          <w:szCs w:val="20"/>
          <w:highlight w:val="none"/>
        </w:rPr>
        <w:t>合同授予</w:t>
      </w:r>
      <w:bookmarkEnd w:id="156"/>
      <w:bookmarkEnd w:id="157"/>
      <w:bookmarkEnd w:id="158"/>
      <w:bookmarkEnd w:id="159"/>
      <w:bookmarkEnd w:id="160"/>
      <w:bookmarkEnd w:id="161"/>
    </w:p>
    <w:p w14:paraId="7B28DCC9">
      <w:pPr>
        <w:keepNext/>
        <w:keepLines/>
        <w:spacing w:line="400" w:lineRule="exact"/>
        <w:outlineLvl w:val="2"/>
        <w:rPr>
          <w:rFonts w:eastAsia="黑体" w:cs="宋体"/>
          <w:color w:val="000000"/>
          <w:sz w:val="24"/>
          <w:szCs w:val="20"/>
          <w:highlight w:val="none"/>
        </w:rPr>
      </w:pPr>
      <w:bookmarkStart w:id="162" w:name="_Toc144974535"/>
      <w:bookmarkStart w:id="163" w:name="_Toc179632585"/>
      <w:bookmarkStart w:id="164" w:name="_Toc152045567"/>
      <w:bookmarkStart w:id="165" w:name="_Toc152042343"/>
      <w:r>
        <w:rPr>
          <w:rFonts w:eastAsia="黑体" w:cs="宋体"/>
          <w:color w:val="000000"/>
          <w:sz w:val="24"/>
          <w:szCs w:val="20"/>
          <w:highlight w:val="none"/>
        </w:rPr>
        <w:t xml:space="preserve">7.1 </w:t>
      </w:r>
      <w:r>
        <w:rPr>
          <w:rFonts w:hint="eastAsia" w:eastAsia="黑体" w:cs="宋体"/>
          <w:color w:val="000000"/>
          <w:sz w:val="24"/>
          <w:szCs w:val="20"/>
          <w:highlight w:val="none"/>
        </w:rPr>
        <w:t>定标方式</w:t>
      </w:r>
      <w:bookmarkEnd w:id="162"/>
      <w:bookmarkEnd w:id="163"/>
      <w:bookmarkEnd w:id="164"/>
      <w:bookmarkEnd w:id="165"/>
    </w:p>
    <w:p w14:paraId="5D9E6836">
      <w:pPr>
        <w:spacing w:line="400" w:lineRule="exact"/>
        <w:ind w:firstLine="420" w:firstLineChars="200"/>
        <w:rPr>
          <w:color w:val="000000"/>
          <w:highlight w:val="none"/>
        </w:rPr>
      </w:pPr>
      <w:r>
        <w:rPr>
          <w:rFonts w:hint="eastAsia"/>
          <w:color w:val="000000"/>
          <w:highlight w:val="none"/>
        </w:rPr>
        <w:t>除投标人须知前附表规定评标委员会直接确定中标人外，招标人依据评标委员会推荐的中标候选人确定中标人，评标委员会推荐中标候选人的人数见投标人须知前附表。</w:t>
      </w:r>
    </w:p>
    <w:p w14:paraId="0064B75A">
      <w:pPr>
        <w:keepNext/>
        <w:keepLines/>
        <w:spacing w:line="400" w:lineRule="exact"/>
        <w:outlineLvl w:val="2"/>
        <w:rPr>
          <w:rFonts w:eastAsia="黑体" w:cs="宋体"/>
          <w:color w:val="000000"/>
          <w:sz w:val="24"/>
          <w:szCs w:val="20"/>
          <w:highlight w:val="none"/>
        </w:rPr>
      </w:pPr>
      <w:bookmarkStart w:id="166" w:name="_Toc179632586"/>
      <w:bookmarkStart w:id="167" w:name="_Toc152045568"/>
      <w:bookmarkStart w:id="168" w:name="_Toc152042344"/>
      <w:bookmarkStart w:id="169" w:name="_Toc144974536"/>
      <w:r>
        <w:rPr>
          <w:rFonts w:eastAsia="黑体" w:cs="宋体"/>
          <w:color w:val="000000"/>
          <w:sz w:val="24"/>
          <w:szCs w:val="20"/>
          <w:highlight w:val="none"/>
        </w:rPr>
        <w:t xml:space="preserve">7.2 </w:t>
      </w:r>
      <w:r>
        <w:rPr>
          <w:rFonts w:hint="eastAsia" w:eastAsia="黑体" w:cs="宋体"/>
          <w:color w:val="000000"/>
          <w:sz w:val="24"/>
          <w:szCs w:val="20"/>
          <w:highlight w:val="none"/>
        </w:rPr>
        <w:t>中标通知</w:t>
      </w:r>
      <w:bookmarkEnd w:id="166"/>
      <w:bookmarkEnd w:id="167"/>
      <w:bookmarkEnd w:id="168"/>
      <w:bookmarkEnd w:id="169"/>
    </w:p>
    <w:p w14:paraId="766D4FEC">
      <w:pPr>
        <w:spacing w:line="400" w:lineRule="exact"/>
        <w:ind w:firstLine="420" w:firstLineChars="200"/>
        <w:rPr>
          <w:color w:val="000000"/>
          <w:highlight w:val="none"/>
        </w:rPr>
      </w:pPr>
      <w:r>
        <w:rPr>
          <w:rFonts w:hint="eastAsia"/>
          <w:color w:val="000000"/>
          <w:highlight w:val="none"/>
        </w:rPr>
        <w:t>在本章第</w:t>
      </w:r>
      <w:r>
        <w:rPr>
          <w:color w:val="000000"/>
          <w:highlight w:val="none"/>
        </w:rPr>
        <w:t>3.3</w:t>
      </w:r>
      <w:r>
        <w:rPr>
          <w:rFonts w:hint="eastAsia"/>
          <w:color w:val="000000"/>
          <w:highlight w:val="none"/>
        </w:rPr>
        <w:t>款规定的投标有效期内，招标人以书面形式向中标人发出中标通知书，同时将中标结果通知未中标的投标人。</w:t>
      </w:r>
    </w:p>
    <w:p w14:paraId="6EF9DB03">
      <w:pPr>
        <w:keepNext/>
        <w:keepLines/>
        <w:spacing w:line="400" w:lineRule="exact"/>
        <w:outlineLvl w:val="2"/>
        <w:rPr>
          <w:rFonts w:eastAsia="黑体" w:cs="宋体"/>
          <w:color w:val="000000"/>
          <w:sz w:val="24"/>
          <w:szCs w:val="20"/>
          <w:highlight w:val="none"/>
        </w:rPr>
      </w:pPr>
      <w:bookmarkStart w:id="170" w:name="_Toc152045569"/>
      <w:bookmarkStart w:id="171" w:name="_Toc144974537"/>
      <w:bookmarkStart w:id="172" w:name="_Toc152042345"/>
      <w:bookmarkStart w:id="173" w:name="_Toc179632587"/>
      <w:r>
        <w:rPr>
          <w:rFonts w:eastAsia="黑体" w:cs="宋体"/>
          <w:color w:val="000000"/>
          <w:sz w:val="24"/>
          <w:szCs w:val="20"/>
          <w:highlight w:val="none"/>
        </w:rPr>
        <w:t xml:space="preserve">7.3 </w:t>
      </w:r>
      <w:r>
        <w:rPr>
          <w:rFonts w:hint="eastAsia" w:eastAsia="黑体" w:cs="宋体"/>
          <w:color w:val="000000"/>
          <w:sz w:val="24"/>
          <w:szCs w:val="20"/>
          <w:highlight w:val="none"/>
        </w:rPr>
        <w:t>履约担保</w:t>
      </w:r>
      <w:bookmarkEnd w:id="170"/>
      <w:bookmarkEnd w:id="171"/>
      <w:bookmarkEnd w:id="172"/>
      <w:bookmarkEnd w:id="173"/>
    </w:p>
    <w:p w14:paraId="48714E71">
      <w:pPr>
        <w:spacing w:line="400" w:lineRule="exact"/>
        <w:ind w:firstLine="420" w:firstLineChars="200"/>
        <w:rPr>
          <w:color w:val="000000"/>
          <w:highlight w:val="none"/>
        </w:rPr>
      </w:pPr>
      <w:r>
        <w:rPr>
          <w:color w:val="000000"/>
          <w:highlight w:val="none"/>
        </w:rPr>
        <w:t>7.3.1</w:t>
      </w:r>
      <w:r>
        <w:rPr>
          <w:rFonts w:hint="eastAsia"/>
          <w:color w:val="000000"/>
          <w:highlight w:val="none"/>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6AB6D1E">
      <w:pPr>
        <w:spacing w:line="400" w:lineRule="exact"/>
        <w:ind w:firstLine="420" w:firstLineChars="200"/>
        <w:rPr>
          <w:color w:val="000000"/>
          <w:highlight w:val="none"/>
        </w:rPr>
      </w:pPr>
      <w:r>
        <w:rPr>
          <w:color w:val="000000"/>
          <w:highlight w:val="none"/>
        </w:rPr>
        <w:t xml:space="preserve">7.3.2 </w:t>
      </w:r>
      <w:r>
        <w:rPr>
          <w:rFonts w:hint="eastAsia"/>
          <w:color w:val="000000"/>
          <w:highlight w:val="none"/>
        </w:rPr>
        <w:t>中标人不能按本章第</w:t>
      </w:r>
      <w:r>
        <w:rPr>
          <w:color w:val="000000"/>
          <w:highlight w:val="none"/>
        </w:rPr>
        <w:t>7.3.1</w:t>
      </w:r>
      <w:r>
        <w:rPr>
          <w:rFonts w:hint="eastAsia"/>
          <w:color w:val="000000"/>
          <w:highlight w:val="none"/>
        </w:rPr>
        <w:t>项要求提交履约担保的，视为放弃中标，其投标保证金不予退还，给招标人造成的损失超过投标保证金数额的，中标人还应当对超过部分予以赔偿。</w:t>
      </w:r>
    </w:p>
    <w:p w14:paraId="08F845F0">
      <w:pPr>
        <w:keepNext/>
        <w:keepLines/>
        <w:spacing w:line="400" w:lineRule="exact"/>
        <w:outlineLvl w:val="2"/>
        <w:rPr>
          <w:rFonts w:eastAsia="黑体" w:cs="宋体"/>
          <w:color w:val="000000"/>
          <w:sz w:val="24"/>
          <w:szCs w:val="20"/>
          <w:highlight w:val="none"/>
        </w:rPr>
      </w:pPr>
      <w:bookmarkStart w:id="174" w:name="_Toc152042346"/>
      <w:bookmarkStart w:id="175" w:name="_Toc179632588"/>
      <w:bookmarkStart w:id="176" w:name="_Toc152045570"/>
      <w:bookmarkStart w:id="177" w:name="_Toc144974538"/>
      <w:r>
        <w:rPr>
          <w:rFonts w:eastAsia="黑体" w:cs="宋体"/>
          <w:color w:val="000000"/>
          <w:sz w:val="24"/>
          <w:szCs w:val="20"/>
          <w:highlight w:val="none"/>
        </w:rPr>
        <w:t xml:space="preserve">7.4 </w:t>
      </w:r>
      <w:r>
        <w:rPr>
          <w:rFonts w:hint="eastAsia" w:eastAsia="黑体" w:cs="宋体"/>
          <w:color w:val="000000"/>
          <w:sz w:val="24"/>
          <w:szCs w:val="20"/>
          <w:highlight w:val="none"/>
        </w:rPr>
        <w:t>签订合同</w:t>
      </w:r>
      <w:bookmarkEnd w:id="174"/>
      <w:bookmarkEnd w:id="175"/>
      <w:bookmarkEnd w:id="176"/>
      <w:bookmarkEnd w:id="177"/>
    </w:p>
    <w:p w14:paraId="36EFF656">
      <w:pPr>
        <w:spacing w:line="400" w:lineRule="exact"/>
        <w:ind w:firstLine="420" w:firstLineChars="200"/>
        <w:rPr>
          <w:color w:val="000000"/>
          <w:highlight w:val="none"/>
        </w:rPr>
      </w:pPr>
      <w:r>
        <w:rPr>
          <w:color w:val="000000"/>
          <w:highlight w:val="none"/>
        </w:rPr>
        <w:t>7.4.1</w:t>
      </w:r>
      <w:r>
        <w:rPr>
          <w:rFonts w:hint="eastAsia"/>
          <w:color w:val="000000"/>
          <w:highlight w:val="none"/>
        </w:rPr>
        <w:t>招标人和中标人应当自中标通知书发出之日起</w:t>
      </w:r>
      <w:r>
        <w:rPr>
          <w:color w:val="000000"/>
          <w:highlight w:val="none"/>
        </w:rPr>
        <w:t>30</w:t>
      </w:r>
      <w:r>
        <w:rPr>
          <w:rFonts w:hint="eastAsia"/>
          <w:color w:val="000000"/>
          <w:highlight w:val="none"/>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color w:val="000000"/>
          <w:highlight w:val="none"/>
        </w:rPr>
        <w:t xml:space="preserve"> </w:t>
      </w:r>
    </w:p>
    <w:p w14:paraId="50558BD0">
      <w:pPr>
        <w:spacing w:line="400" w:lineRule="exact"/>
        <w:ind w:firstLine="420" w:firstLineChars="200"/>
        <w:rPr>
          <w:color w:val="000000"/>
          <w:highlight w:val="none"/>
        </w:rPr>
      </w:pPr>
      <w:r>
        <w:rPr>
          <w:color w:val="000000"/>
          <w:highlight w:val="none"/>
        </w:rPr>
        <w:t xml:space="preserve">7.4.2 </w:t>
      </w:r>
      <w:r>
        <w:rPr>
          <w:rFonts w:hint="eastAsia"/>
          <w:color w:val="000000"/>
          <w:highlight w:val="none"/>
        </w:rPr>
        <w:t>发出中标通知书后，招标人无正当理由拒签合同的，招标人向中标人退还投标保证金；给中标人造成损失的，还应当赔偿损失。</w:t>
      </w:r>
      <w:r>
        <w:rPr>
          <w:color w:val="000000"/>
          <w:highlight w:val="none"/>
        </w:rPr>
        <w:t xml:space="preserve"> </w:t>
      </w:r>
    </w:p>
    <w:p w14:paraId="43E31FC0">
      <w:pPr>
        <w:keepNext/>
        <w:keepLines/>
        <w:spacing w:before="100" w:line="400" w:lineRule="exact"/>
        <w:outlineLvl w:val="1"/>
        <w:rPr>
          <w:rFonts w:eastAsia="黑体" w:cs="宋体"/>
          <w:color w:val="000000"/>
          <w:sz w:val="28"/>
          <w:szCs w:val="20"/>
          <w:highlight w:val="none"/>
        </w:rPr>
      </w:pPr>
      <w:bookmarkStart w:id="178" w:name="_Toc179632589"/>
      <w:bookmarkStart w:id="179" w:name="_Toc152042347"/>
      <w:bookmarkStart w:id="180" w:name="_Toc155799718"/>
      <w:bookmarkStart w:id="181" w:name="_Toc144974539"/>
      <w:bookmarkStart w:id="182" w:name="_Toc149833939"/>
      <w:bookmarkStart w:id="183" w:name="_Toc152045571"/>
      <w:r>
        <w:rPr>
          <w:rFonts w:eastAsia="黑体" w:cs="宋体"/>
          <w:color w:val="000000"/>
          <w:sz w:val="28"/>
          <w:szCs w:val="20"/>
          <w:highlight w:val="none"/>
        </w:rPr>
        <w:t xml:space="preserve">8. </w:t>
      </w:r>
      <w:r>
        <w:rPr>
          <w:rFonts w:hint="eastAsia" w:eastAsia="黑体" w:cs="宋体"/>
          <w:color w:val="000000"/>
          <w:sz w:val="28"/>
          <w:szCs w:val="20"/>
          <w:highlight w:val="none"/>
        </w:rPr>
        <w:t>重新招标和不再招标</w:t>
      </w:r>
      <w:bookmarkEnd w:id="178"/>
      <w:bookmarkEnd w:id="179"/>
      <w:bookmarkEnd w:id="180"/>
      <w:bookmarkEnd w:id="181"/>
      <w:bookmarkEnd w:id="182"/>
      <w:bookmarkEnd w:id="183"/>
    </w:p>
    <w:p w14:paraId="076F02BE">
      <w:pPr>
        <w:keepNext/>
        <w:keepLines/>
        <w:spacing w:line="400" w:lineRule="exact"/>
        <w:outlineLvl w:val="2"/>
        <w:rPr>
          <w:rFonts w:eastAsia="黑体" w:cs="宋体"/>
          <w:color w:val="000000"/>
          <w:sz w:val="24"/>
          <w:szCs w:val="20"/>
          <w:highlight w:val="none"/>
        </w:rPr>
      </w:pPr>
      <w:bookmarkStart w:id="184" w:name="_Toc152042348"/>
      <w:bookmarkStart w:id="185" w:name="_Toc144974540"/>
      <w:bookmarkStart w:id="186" w:name="_Toc179632590"/>
      <w:bookmarkStart w:id="187" w:name="_Toc152045572"/>
      <w:r>
        <w:rPr>
          <w:rFonts w:eastAsia="黑体" w:cs="宋体"/>
          <w:color w:val="000000"/>
          <w:sz w:val="24"/>
          <w:szCs w:val="20"/>
          <w:highlight w:val="none"/>
        </w:rPr>
        <w:t xml:space="preserve">8.1 </w:t>
      </w:r>
      <w:r>
        <w:rPr>
          <w:rFonts w:hint="eastAsia" w:eastAsia="黑体" w:cs="宋体"/>
          <w:color w:val="000000"/>
          <w:sz w:val="24"/>
          <w:szCs w:val="20"/>
          <w:highlight w:val="none"/>
        </w:rPr>
        <w:t>重新招标</w:t>
      </w:r>
      <w:bookmarkEnd w:id="184"/>
      <w:bookmarkEnd w:id="185"/>
      <w:bookmarkEnd w:id="186"/>
      <w:bookmarkEnd w:id="187"/>
    </w:p>
    <w:p w14:paraId="3B7333B3">
      <w:pPr>
        <w:spacing w:line="400" w:lineRule="exact"/>
        <w:ind w:firstLine="420" w:firstLineChars="200"/>
        <w:rPr>
          <w:color w:val="000000"/>
          <w:highlight w:val="none"/>
        </w:rPr>
      </w:pPr>
      <w:r>
        <w:rPr>
          <w:rFonts w:hint="eastAsia"/>
          <w:color w:val="000000"/>
          <w:highlight w:val="none"/>
        </w:rPr>
        <w:t>有下列情形之一的，招标人将重新招标：</w:t>
      </w:r>
    </w:p>
    <w:p w14:paraId="41E2433F">
      <w:pPr>
        <w:spacing w:line="400" w:lineRule="exact"/>
        <w:ind w:firstLine="359" w:firstLineChars="171"/>
        <w:rPr>
          <w:color w:val="000000"/>
          <w:highlight w:val="none"/>
        </w:rPr>
      </w:pPr>
      <w:r>
        <w:rPr>
          <w:rFonts w:hint="eastAsia"/>
          <w:color w:val="000000"/>
          <w:highlight w:val="none"/>
        </w:rPr>
        <w:t>（</w:t>
      </w:r>
      <w:r>
        <w:rPr>
          <w:color w:val="000000"/>
          <w:highlight w:val="none"/>
        </w:rPr>
        <w:t>1</w:t>
      </w:r>
      <w:r>
        <w:rPr>
          <w:rFonts w:hint="eastAsia"/>
          <w:color w:val="000000"/>
          <w:highlight w:val="none"/>
        </w:rPr>
        <w:t>）投标截止时间止，投标人少于</w:t>
      </w:r>
      <w:r>
        <w:rPr>
          <w:color w:val="000000"/>
          <w:highlight w:val="none"/>
        </w:rPr>
        <w:t>3</w:t>
      </w:r>
      <w:r>
        <w:rPr>
          <w:rFonts w:hint="eastAsia"/>
          <w:color w:val="000000"/>
          <w:highlight w:val="none"/>
        </w:rPr>
        <w:t>个的；</w:t>
      </w:r>
    </w:p>
    <w:p w14:paraId="3316AD24">
      <w:pPr>
        <w:spacing w:line="400" w:lineRule="exact"/>
        <w:ind w:firstLine="359" w:firstLineChars="171"/>
        <w:rPr>
          <w:color w:val="000000"/>
          <w:highlight w:val="none"/>
        </w:rPr>
      </w:pPr>
      <w:r>
        <w:rPr>
          <w:rFonts w:hint="eastAsia"/>
          <w:color w:val="000000"/>
          <w:highlight w:val="none"/>
        </w:rPr>
        <w:t>（</w:t>
      </w:r>
      <w:r>
        <w:rPr>
          <w:color w:val="000000"/>
          <w:highlight w:val="none"/>
        </w:rPr>
        <w:t>2</w:t>
      </w:r>
      <w:r>
        <w:rPr>
          <w:rFonts w:hint="eastAsia"/>
          <w:color w:val="000000"/>
          <w:highlight w:val="none"/>
        </w:rPr>
        <w:t>）经评标委员会评审后否决所有投标的。</w:t>
      </w:r>
    </w:p>
    <w:p w14:paraId="25302422">
      <w:pPr>
        <w:keepNext/>
        <w:keepLines/>
        <w:spacing w:line="400" w:lineRule="exact"/>
        <w:outlineLvl w:val="2"/>
        <w:rPr>
          <w:rFonts w:eastAsia="黑体" w:cs="宋体"/>
          <w:color w:val="000000"/>
          <w:sz w:val="24"/>
          <w:szCs w:val="20"/>
          <w:highlight w:val="none"/>
        </w:rPr>
      </w:pPr>
      <w:bookmarkStart w:id="188" w:name="_Toc152042349"/>
      <w:bookmarkStart w:id="189" w:name="_Toc152045573"/>
      <w:bookmarkStart w:id="190" w:name="_Toc144974541"/>
      <w:bookmarkStart w:id="191" w:name="_Toc179632591"/>
      <w:r>
        <w:rPr>
          <w:rFonts w:eastAsia="黑体" w:cs="宋体"/>
          <w:color w:val="000000"/>
          <w:sz w:val="24"/>
          <w:szCs w:val="20"/>
          <w:highlight w:val="none"/>
        </w:rPr>
        <w:t xml:space="preserve">8.2 </w:t>
      </w:r>
      <w:r>
        <w:rPr>
          <w:rFonts w:hint="eastAsia" w:eastAsia="黑体" w:cs="宋体"/>
          <w:color w:val="000000"/>
          <w:sz w:val="24"/>
          <w:szCs w:val="20"/>
          <w:highlight w:val="none"/>
        </w:rPr>
        <w:t>不再招标</w:t>
      </w:r>
      <w:bookmarkEnd w:id="188"/>
      <w:bookmarkEnd w:id="189"/>
      <w:bookmarkEnd w:id="190"/>
      <w:bookmarkEnd w:id="191"/>
    </w:p>
    <w:p w14:paraId="2D3458CC">
      <w:pPr>
        <w:spacing w:line="400" w:lineRule="exact"/>
        <w:ind w:firstLine="420" w:firstLineChars="200"/>
        <w:rPr>
          <w:color w:val="000000"/>
          <w:highlight w:val="none"/>
        </w:rPr>
      </w:pPr>
      <w:r>
        <w:rPr>
          <w:rFonts w:hint="eastAsia"/>
          <w:color w:val="000000"/>
          <w:highlight w:val="none"/>
        </w:rPr>
        <w:t>重新招标后投标人仍少于</w:t>
      </w:r>
      <w:r>
        <w:rPr>
          <w:color w:val="000000"/>
          <w:highlight w:val="none"/>
        </w:rPr>
        <w:t>3</w:t>
      </w:r>
      <w:r>
        <w:rPr>
          <w:rFonts w:hint="eastAsia"/>
          <w:color w:val="000000"/>
          <w:highlight w:val="none"/>
        </w:rPr>
        <w:t>个或者所有投标被否决的，属于必须审批或核准的工程建设项目，经原审批或核准部门批准后不再进行招标。</w:t>
      </w:r>
    </w:p>
    <w:p w14:paraId="3C75F08F">
      <w:pPr>
        <w:keepNext/>
        <w:keepLines/>
        <w:spacing w:before="100" w:line="400" w:lineRule="exact"/>
        <w:outlineLvl w:val="1"/>
        <w:rPr>
          <w:rFonts w:eastAsia="黑体" w:cs="宋体"/>
          <w:color w:val="000000"/>
          <w:sz w:val="28"/>
          <w:szCs w:val="20"/>
          <w:highlight w:val="none"/>
        </w:rPr>
      </w:pPr>
      <w:bookmarkStart w:id="192" w:name="_Toc144974542"/>
      <w:bookmarkStart w:id="193" w:name="_Toc179632592"/>
      <w:bookmarkStart w:id="194" w:name="_Toc155799719"/>
      <w:bookmarkStart w:id="195" w:name="_Toc149833940"/>
      <w:bookmarkStart w:id="196" w:name="_Toc152042350"/>
      <w:bookmarkStart w:id="197" w:name="_Toc152045574"/>
      <w:r>
        <w:rPr>
          <w:rFonts w:eastAsia="黑体" w:cs="宋体"/>
          <w:color w:val="000000"/>
          <w:sz w:val="28"/>
          <w:szCs w:val="20"/>
          <w:highlight w:val="none"/>
        </w:rPr>
        <w:t xml:space="preserve">9. </w:t>
      </w:r>
      <w:r>
        <w:rPr>
          <w:rFonts w:hint="eastAsia" w:eastAsia="黑体" w:cs="宋体"/>
          <w:color w:val="000000"/>
          <w:sz w:val="28"/>
          <w:szCs w:val="20"/>
          <w:highlight w:val="none"/>
        </w:rPr>
        <w:t>纪律和监督</w:t>
      </w:r>
      <w:bookmarkEnd w:id="192"/>
      <w:bookmarkEnd w:id="193"/>
      <w:bookmarkEnd w:id="194"/>
      <w:bookmarkEnd w:id="195"/>
      <w:bookmarkEnd w:id="196"/>
      <w:bookmarkEnd w:id="197"/>
    </w:p>
    <w:p w14:paraId="7F1CE6D7">
      <w:pPr>
        <w:keepNext/>
        <w:keepLines/>
        <w:spacing w:line="400" w:lineRule="exact"/>
        <w:outlineLvl w:val="2"/>
        <w:rPr>
          <w:rFonts w:eastAsia="黑体" w:cs="宋体"/>
          <w:color w:val="000000"/>
          <w:sz w:val="24"/>
          <w:szCs w:val="20"/>
          <w:highlight w:val="none"/>
        </w:rPr>
      </w:pPr>
      <w:bookmarkStart w:id="198" w:name="_Toc152045575"/>
      <w:bookmarkStart w:id="199" w:name="_Toc144974543"/>
      <w:bookmarkStart w:id="200" w:name="_Toc179632593"/>
      <w:bookmarkStart w:id="201" w:name="_Toc152042351"/>
      <w:r>
        <w:rPr>
          <w:rFonts w:eastAsia="黑体" w:cs="宋体"/>
          <w:color w:val="000000"/>
          <w:sz w:val="24"/>
          <w:szCs w:val="20"/>
          <w:highlight w:val="none"/>
        </w:rPr>
        <w:t xml:space="preserve">9.1 </w:t>
      </w:r>
      <w:r>
        <w:rPr>
          <w:rFonts w:hint="eastAsia" w:eastAsia="黑体" w:cs="宋体"/>
          <w:color w:val="000000"/>
          <w:sz w:val="24"/>
          <w:szCs w:val="20"/>
          <w:highlight w:val="none"/>
        </w:rPr>
        <w:t>对招标人的纪律要求</w:t>
      </w:r>
      <w:bookmarkEnd w:id="198"/>
      <w:bookmarkEnd w:id="199"/>
      <w:bookmarkEnd w:id="200"/>
      <w:bookmarkEnd w:id="201"/>
    </w:p>
    <w:p w14:paraId="599184C5">
      <w:pPr>
        <w:spacing w:line="400" w:lineRule="exact"/>
        <w:ind w:firstLine="420" w:firstLineChars="200"/>
        <w:rPr>
          <w:color w:val="000000"/>
          <w:highlight w:val="none"/>
        </w:rPr>
      </w:pPr>
      <w:r>
        <w:rPr>
          <w:rFonts w:hint="eastAsia"/>
          <w:color w:val="000000"/>
          <w:highlight w:val="none"/>
        </w:rPr>
        <w:t>招标人不得泄漏招标投标活动中应当保密的情况和资料，不得与投标人串通损害国家利益、社会公共利益或者他人合法权益。</w:t>
      </w:r>
    </w:p>
    <w:p w14:paraId="7FBEED00">
      <w:pPr>
        <w:keepNext/>
        <w:keepLines/>
        <w:spacing w:line="400" w:lineRule="exact"/>
        <w:outlineLvl w:val="2"/>
        <w:rPr>
          <w:rFonts w:eastAsia="黑体" w:cs="宋体"/>
          <w:color w:val="000000"/>
          <w:sz w:val="24"/>
          <w:szCs w:val="20"/>
          <w:highlight w:val="none"/>
        </w:rPr>
      </w:pPr>
      <w:bookmarkStart w:id="202" w:name="_Toc152042352"/>
      <w:bookmarkStart w:id="203" w:name="_Toc152045576"/>
      <w:bookmarkStart w:id="204" w:name="_Toc144974544"/>
      <w:bookmarkStart w:id="205" w:name="_Toc179632594"/>
      <w:r>
        <w:rPr>
          <w:rFonts w:eastAsia="黑体" w:cs="宋体"/>
          <w:color w:val="000000"/>
          <w:sz w:val="24"/>
          <w:szCs w:val="20"/>
          <w:highlight w:val="none"/>
        </w:rPr>
        <w:t xml:space="preserve">9.2 </w:t>
      </w:r>
      <w:r>
        <w:rPr>
          <w:rFonts w:hint="eastAsia" w:eastAsia="黑体" w:cs="宋体"/>
          <w:color w:val="000000"/>
          <w:sz w:val="24"/>
          <w:szCs w:val="20"/>
          <w:highlight w:val="none"/>
        </w:rPr>
        <w:t>对投标人的纪律要求</w:t>
      </w:r>
      <w:bookmarkEnd w:id="202"/>
      <w:bookmarkEnd w:id="203"/>
      <w:bookmarkEnd w:id="204"/>
      <w:bookmarkEnd w:id="205"/>
    </w:p>
    <w:p w14:paraId="0685DDBF">
      <w:pPr>
        <w:spacing w:line="400" w:lineRule="exact"/>
        <w:ind w:firstLine="420" w:firstLineChars="200"/>
        <w:rPr>
          <w:color w:val="000000"/>
          <w:highlight w:val="none"/>
        </w:rPr>
      </w:pPr>
      <w:r>
        <w:rPr>
          <w:rFonts w:hint="eastAsia"/>
          <w:color w:val="00000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9F4C83">
      <w:pPr>
        <w:keepNext/>
        <w:keepLines/>
        <w:spacing w:line="400" w:lineRule="exact"/>
        <w:outlineLvl w:val="2"/>
        <w:rPr>
          <w:rFonts w:eastAsia="黑体" w:cs="宋体"/>
          <w:color w:val="000000"/>
          <w:sz w:val="24"/>
          <w:szCs w:val="20"/>
          <w:highlight w:val="none"/>
        </w:rPr>
      </w:pPr>
      <w:bookmarkStart w:id="206" w:name="_Toc152042353"/>
      <w:bookmarkStart w:id="207" w:name="_Toc152045577"/>
      <w:bookmarkStart w:id="208" w:name="_Toc144974545"/>
      <w:bookmarkStart w:id="209" w:name="_Toc179632595"/>
      <w:r>
        <w:rPr>
          <w:rFonts w:eastAsia="黑体" w:cs="宋体"/>
          <w:color w:val="000000"/>
          <w:sz w:val="24"/>
          <w:szCs w:val="20"/>
          <w:highlight w:val="none"/>
        </w:rPr>
        <w:t xml:space="preserve">9.3 </w:t>
      </w:r>
      <w:r>
        <w:rPr>
          <w:rFonts w:hint="eastAsia" w:eastAsia="黑体" w:cs="宋体"/>
          <w:color w:val="000000"/>
          <w:sz w:val="24"/>
          <w:szCs w:val="20"/>
          <w:highlight w:val="none"/>
        </w:rPr>
        <w:t>对评标委员会成员的纪律要求</w:t>
      </w:r>
      <w:bookmarkEnd w:id="206"/>
      <w:bookmarkEnd w:id="207"/>
      <w:bookmarkEnd w:id="208"/>
      <w:bookmarkEnd w:id="209"/>
    </w:p>
    <w:p w14:paraId="333C5617">
      <w:pPr>
        <w:spacing w:line="400" w:lineRule="exact"/>
        <w:ind w:firstLine="420" w:firstLineChars="200"/>
        <w:rPr>
          <w:color w:val="000000"/>
          <w:highlight w:val="none"/>
        </w:rPr>
      </w:pPr>
      <w:r>
        <w:rPr>
          <w:rFonts w:hint="eastAsia"/>
          <w:color w:val="000000"/>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78068CE">
      <w:pPr>
        <w:keepNext/>
        <w:keepLines/>
        <w:spacing w:line="400" w:lineRule="exact"/>
        <w:outlineLvl w:val="2"/>
        <w:rPr>
          <w:rFonts w:eastAsia="黑体" w:cs="宋体"/>
          <w:color w:val="000000"/>
          <w:sz w:val="24"/>
          <w:szCs w:val="20"/>
          <w:highlight w:val="none"/>
        </w:rPr>
      </w:pPr>
      <w:bookmarkStart w:id="210" w:name="_Toc152042354"/>
      <w:bookmarkStart w:id="211" w:name="_Toc179632596"/>
      <w:bookmarkStart w:id="212" w:name="_Toc152045578"/>
      <w:bookmarkStart w:id="213" w:name="_Toc144974546"/>
      <w:r>
        <w:rPr>
          <w:rFonts w:eastAsia="黑体" w:cs="宋体"/>
          <w:color w:val="000000"/>
          <w:sz w:val="24"/>
          <w:szCs w:val="20"/>
          <w:highlight w:val="none"/>
        </w:rPr>
        <w:t xml:space="preserve">9.4 </w:t>
      </w:r>
      <w:r>
        <w:rPr>
          <w:rFonts w:hint="eastAsia" w:eastAsia="黑体" w:cs="宋体"/>
          <w:color w:val="000000"/>
          <w:sz w:val="24"/>
          <w:szCs w:val="20"/>
          <w:highlight w:val="none"/>
        </w:rPr>
        <w:t>对与评标活动有关的工作人员的纪律要求</w:t>
      </w:r>
      <w:bookmarkEnd w:id="210"/>
      <w:bookmarkEnd w:id="211"/>
      <w:bookmarkEnd w:id="212"/>
    </w:p>
    <w:p w14:paraId="5301262D">
      <w:pPr>
        <w:spacing w:line="400" w:lineRule="exact"/>
        <w:ind w:firstLine="420" w:firstLineChars="200"/>
        <w:rPr>
          <w:color w:val="000000"/>
          <w:highlight w:val="none"/>
        </w:rPr>
      </w:pPr>
      <w:bookmarkStart w:id="214" w:name="_Toc152042355"/>
      <w:r>
        <w:rPr>
          <w:rFonts w:hint="eastAsia"/>
          <w:color w:val="00000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14"/>
    </w:p>
    <w:p w14:paraId="70BE427C">
      <w:pPr>
        <w:keepNext/>
        <w:keepLines/>
        <w:spacing w:line="400" w:lineRule="exact"/>
        <w:outlineLvl w:val="2"/>
        <w:rPr>
          <w:rFonts w:eastAsia="黑体" w:cs="宋体"/>
          <w:color w:val="000000"/>
          <w:sz w:val="24"/>
          <w:szCs w:val="20"/>
          <w:highlight w:val="none"/>
        </w:rPr>
      </w:pPr>
      <w:bookmarkStart w:id="215" w:name="_Toc179632597"/>
      <w:bookmarkStart w:id="216" w:name="_Toc152042356"/>
      <w:bookmarkStart w:id="217" w:name="_Toc152045579"/>
      <w:r>
        <w:rPr>
          <w:rFonts w:eastAsia="黑体" w:cs="宋体"/>
          <w:color w:val="000000"/>
          <w:sz w:val="24"/>
          <w:szCs w:val="20"/>
          <w:highlight w:val="none"/>
        </w:rPr>
        <w:t xml:space="preserve">9.5 </w:t>
      </w:r>
      <w:r>
        <w:rPr>
          <w:rFonts w:hint="eastAsia" w:eastAsia="黑体" w:cs="宋体"/>
          <w:color w:val="000000"/>
          <w:sz w:val="24"/>
          <w:szCs w:val="20"/>
          <w:highlight w:val="none"/>
        </w:rPr>
        <w:t>投诉</w:t>
      </w:r>
      <w:bookmarkEnd w:id="213"/>
      <w:bookmarkEnd w:id="215"/>
      <w:bookmarkEnd w:id="216"/>
      <w:bookmarkEnd w:id="217"/>
    </w:p>
    <w:p w14:paraId="42F321C5">
      <w:pPr>
        <w:spacing w:line="400" w:lineRule="exact"/>
        <w:ind w:firstLine="420" w:firstLineChars="200"/>
        <w:rPr>
          <w:color w:val="000000"/>
          <w:highlight w:val="none"/>
        </w:rPr>
      </w:pPr>
      <w:r>
        <w:rPr>
          <w:rFonts w:hint="eastAsia"/>
          <w:color w:val="000000"/>
          <w:highlight w:val="none"/>
        </w:rPr>
        <w:t>投标人和其他利害关系人认为本次招标活动违反法律、法规和规章规定的，有权向有关行政监督部门投诉。</w:t>
      </w:r>
    </w:p>
    <w:p w14:paraId="3822F6EE">
      <w:pPr>
        <w:keepNext/>
        <w:keepLines/>
        <w:spacing w:before="100" w:line="400" w:lineRule="exact"/>
        <w:outlineLvl w:val="1"/>
        <w:rPr>
          <w:rFonts w:eastAsia="黑体" w:cs="宋体"/>
          <w:color w:val="000000"/>
          <w:sz w:val="28"/>
          <w:szCs w:val="20"/>
          <w:highlight w:val="none"/>
        </w:rPr>
      </w:pPr>
      <w:bookmarkStart w:id="218" w:name="_Toc179632598"/>
      <w:bookmarkStart w:id="219" w:name="_Toc152045580"/>
      <w:bookmarkStart w:id="220" w:name="_Toc149833941"/>
      <w:bookmarkStart w:id="221" w:name="_Toc144974547"/>
      <w:bookmarkStart w:id="222" w:name="_Toc152042357"/>
      <w:bookmarkStart w:id="223" w:name="_Toc155799720"/>
      <w:r>
        <w:rPr>
          <w:rFonts w:eastAsia="黑体" w:cs="宋体"/>
          <w:color w:val="000000"/>
          <w:sz w:val="28"/>
          <w:szCs w:val="20"/>
          <w:highlight w:val="none"/>
        </w:rPr>
        <w:t xml:space="preserve">10. </w:t>
      </w:r>
      <w:r>
        <w:rPr>
          <w:rFonts w:hint="eastAsia" w:eastAsia="黑体" w:cs="宋体"/>
          <w:color w:val="000000"/>
          <w:sz w:val="28"/>
          <w:szCs w:val="20"/>
          <w:highlight w:val="none"/>
        </w:rPr>
        <w:t>需要补充的其他内容</w:t>
      </w:r>
      <w:bookmarkEnd w:id="218"/>
      <w:bookmarkEnd w:id="219"/>
      <w:bookmarkEnd w:id="220"/>
      <w:bookmarkEnd w:id="221"/>
      <w:bookmarkEnd w:id="222"/>
      <w:bookmarkEnd w:id="223"/>
    </w:p>
    <w:p w14:paraId="0501309D">
      <w:pPr>
        <w:spacing w:line="400" w:lineRule="exact"/>
        <w:ind w:firstLine="420" w:firstLineChars="200"/>
        <w:rPr>
          <w:color w:val="000000"/>
          <w:highlight w:val="none"/>
        </w:rPr>
      </w:pPr>
      <w:r>
        <w:rPr>
          <w:rFonts w:hint="eastAsia"/>
          <w:color w:val="000000"/>
          <w:highlight w:val="none"/>
        </w:rPr>
        <w:t>需要补充的其他内容：见投标人须知前附表。</w:t>
      </w:r>
    </w:p>
    <w:p w14:paraId="0FFA5A59">
      <w:pPr>
        <w:spacing w:after="120"/>
        <w:ind w:firstLine="210" w:firstLineChars="100"/>
        <w:rPr>
          <w:color w:val="000000"/>
          <w:highlight w:val="none"/>
        </w:rPr>
      </w:pPr>
    </w:p>
    <w:p w14:paraId="38E1D79A">
      <w:pPr>
        <w:spacing w:after="120"/>
        <w:ind w:firstLine="210" w:firstLineChars="100"/>
        <w:rPr>
          <w:color w:val="000000"/>
          <w:highlight w:val="none"/>
        </w:rPr>
      </w:pPr>
    </w:p>
    <w:p w14:paraId="38CDC710">
      <w:pPr>
        <w:spacing w:after="120"/>
        <w:ind w:firstLine="210" w:firstLineChars="100"/>
        <w:rPr>
          <w:color w:val="000000"/>
          <w:highlight w:val="none"/>
        </w:rPr>
      </w:pPr>
    </w:p>
    <w:p w14:paraId="53E30413">
      <w:pPr>
        <w:spacing w:after="120"/>
        <w:rPr>
          <w:color w:val="000000"/>
          <w:highlight w:val="none"/>
        </w:rPr>
      </w:pPr>
    </w:p>
    <w:p w14:paraId="68491F42">
      <w:pPr>
        <w:spacing w:after="120"/>
        <w:rPr>
          <w:color w:val="000000"/>
          <w:highlight w:val="none"/>
        </w:rPr>
      </w:pPr>
      <w:r>
        <w:rPr>
          <w:color w:val="000000"/>
          <w:highlight w:val="none"/>
        </w:rPr>
        <w:br w:type="page"/>
      </w:r>
    </w:p>
    <w:p w14:paraId="56270257">
      <w:pPr>
        <w:keepNext/>
        <w:keepLines/>
        <w:spacing w:before="340" w:after="330"/>
        <w:jc w:val="center"/>
        <w:outlineLvl w:val="0"/>
        <w:rPr>
          <w:rFonts w:ascii="黑体" w:hAnsi="黑体" w:eastAsia="黑体"/>
          <w:b/>
          <w:bCs/>
          <w:color w:val="000000"/>
          <w:kern w:val="44"/>
          <w:sz w:val="32"/>
          <w:szCs w:val="32"/>
          <w:highlight w:val="none"/>
        </w:rPr>
      </w:pPr>
      <w:bookmarkStart w:id="224" w:name="_Toc155799721"/>
      <w:r>
        <w:rPr>
          <w:rFonts w:hint="eastAsia" w:ascii="黑体" w:hAnsi="黑体" w:eastAsia="黑体"/>
          <w:b/>
          <w:bCs/>
          <w:color w:val="000000"/>
          <w:kern w:val="44"/>
          <w:sz w:val="32"/>
          <w:szCs w:val="32"/>
          <w:highlight w:val="none"/>
        </w:rPr>
        <w:t>第三章  评标办法（综合评估法）</w:t>
      </w:r>
      <w:bookmarkEnd w:id="224"/>
    </w:p>
    <w:p w14:paraId="40797C34">
      <w:pPr>
        <w:keepNext/>
        <w:keepLines/>
        <w:spacing w:before="100" w:line="400" w:lineRule="exact"/>
        <w:jc w:val="center"/>
        <w:outlineLvl w:val="1"/>
        <w:rPr>
          <w:rFonts w:hint="eastAsia" w:eastAsia="黑体" w:cs="宋体"/>
          <w:color w:val="000000"/>
          <w:sz w:val="28"/>
          <w:szCs w:val="20"/>
          <w:highlight w:val="none"/>
        </w:rPr>
      </w:pPr>
      <w:bookmarkStart w:id="225" w:name="_Toc382903916"/>
      <w:bookmarkStart w:id="226" w:name="_Toc155799722"/>
      <w:bookmarkStart w:id="227" w:name="_Toc149833943"/>
      <w:r>
        <w:rPr>
          <w:rFonts w:hint="eastAsia" w:eastAsia="黑体" w:cs="宋体"/>
          <w:color w:val="000000"/>
          <w:sz w:val="28"/>
          <w:szCs w:val="20"/>
          <w:highlight w:val="none"/>
        </w:rPr>
        <w:t>评标办法前附表</w:t>
      </w:r>
      <w:bookmarkEnd w:id="225"/>
      <w:bookmarkEnd w:id="226"/>
      <w:bookmarkEnd w:id="227"/>
    </w:p>
    <w:tbl>
      <w:tblPr>
        <w:tblStyle w:val="8"/>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58"/>
        <w:gridCol w:w="7"/>
        <w:gridCol w:w="2255"/>
        <w:gridCol w:w="190"/>
        <w:gridCol w:w="5368"/>
      </w:tblGrid>
      <w:tr w14:paraId="6070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30" w:type="dxa"/>
            <w:gridSpan w:val="3"/>
            <w:tcBorders>
              <w:top w:val="single" w:color="auto" w:sz="4" w:space="0"/>
              <w:left w:val="single" w:color="auto" w:sz="4" w:space="0"/>
              <w:bottom w:val="single" w:color="auto" w:sz="4" w:space="0"/>
              <w:right w:val="single" w:color="auto" w:sz="4" w:space="0"/>
            </w:tcBorders>
            <w:noWrap w:val="0"/>
            <w:vAlign w:val="center"/>
          </w:tcPr>
          <w:p w14:paraId="63D14838">
            <w:pPr>
              <w:spacing w:line="276" w:lineRule="auto"/>
              <w:ind w:firstLine="210" w:firstLineChars="100"/>
              <w:rPr>
                <w:color w:val="000000"/>
                <w:highlight w:val="none"/>
              </w:rPr>
            </w:pPr>
            <w:bookmarkStart w:id="228" w:name="_Toc152045600"/>
            <w:bookmarkStart w:id="229" w:name="_Toc179632618"/>
            <w:bookmarkStart w:id="230" w:name="_Toc144974567"/>
            <w:bookmarkStart w:id="231" w:name="_Toc152042377"/>
            <w:r>
              <w:rPr>
                <w:rFonts w:hint="eastAsia"/>
                <w:color w:val="000000"/>
                <w:highlight w:val="none"/>
              </w:rPr>
              <w:t>条款号</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5ABEB233">
            <w:pPr>
              <w:spacing w:line="276" w:lineRule="auto"/>
              <w:ind w:firstLine="1050" w:firstLineChars="500"/>
              <w:rPr>
                <w:color w:val="000000"/>
                <w:highlight w:val="none"/>
              </w:rPr>
            </w:pPr>
            <w:r>
              <w:rPr>
                <w:rFonts w:hint="eastAsia"/>
                <w:color w:val="000000"/>
                <w:highlight w:val="none"/>
              </w:rPr>
              <w:t>评审因素</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4D5ACE61">
            <w:pPr>
              <w:spacing w:line="276" w:lineRule="auto"/>
              <w:ind w:firstLine="1785" w:firstLineChars="850"/>
              <w:rPr>
                <w:color w:val="000000"/>
                <w:highlight w:val="none"/>
              </w:rPr>
            </w:pPr>
            <w:r>
              <w:rPr>
                <w:rFonts w:hint="eastAsia"/>
                <w:color w:val="000000"/>
                <w:highlight w:val="none"/>
              </w:rPr>
              <w:t>评审标准</w:t>
            </w:r>
          </w:p>
        </w:tc>
      </w:tr>
      <w:tr w14:paraId="7A45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65" w:type="dxa"/>
            <w:vMerge w:val="restart"/>
            <w:tcBorders>
              <w:top w:val="single" w:color="auto" w:sz="4" w:space="0"/>
              <w:left w:val="single" w:color="auto" w:sz="4" w:space="0"/>
              <w:right w:val="single" w:color="auto" w:sz="4" w:space="0"/>
            </w:tcBorders>
            <w:noWrap w:val="0"/>
            <w:vAlign w:val="center"/>
          </w:tcPr>
          <w:p w14:paraId="108123DE">
            <w:pPr>
              <w:spacing w:line="276" w:lineRule="auto"/>
              <w:rPr>
                <w:rFonts w:hint="eastAsia"/>
                <w:color w:val="000000"/>
                <w:highlight w:val="none"/>
              </w:rPr>
            </w:pPr>
            <w:r>
              <w:rPr>
                <w:rFonts w:hint="eastAsia"/>
                <w:color w:val="000000"/>
                <w:highlight w:val="none"/>
              </w:rPr>
              <w:t>2.1.1</w:t>
            </w:r>
          </w:p>
        </w:tc>
        <w:tc>
          <w:tcPr>
            <w:tcW w:w="765" w:type="dxa"/>
            <w:gridSpan w:val="2"/>
            <w:vMerge w:val="restart"/>
            <w:tcBorders>
              <w:top w:val="single" w:color="auto" w:sz="4" w:space="0"/>
              <w:left w:val="single" w:color="auto" w:sz="4" w:space="0"/>
              <w:right w:val="single" w:color="auto" w:sz="4" w:space="0"/>
            </w:tcBorders>
            <w:noWrap w:val="0"/>
            <w:vAlign w:val="center"/>
          </w:tcPr>
          <w:p w14:paraId="6D40076E">
            <w:pPr>
              <w:jc w:val="center"/>
              <w:rPr>
                <w:rFonts w:hint="eastAsia"/>
                <w:color w:val="000000"/>
                <w:highlight w:val="none"/>
              </w:rPr>
            </w:pPr>
            <w:r>
              <w:rPr>
                <w:rFonts w:hint="eastAsia"/>
                <w:color w:val="000000"/>
                <w:highlight w:val="none"/>
              </w:rPr>
              <w:t>形式审查标准</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09BADC08">
            <w:pPr>
              <w:jc w:val="center"/>
              <w:rPr>
                <w:rFonts w:hint="eastAsia" w:hAnsi="宋体"/>
                <w:color w:val="000000"/>
                <w:szCs w:val="21"/>
                <w:highlight w:val="none"/>
              </w:rPr>
            </w:pPr>
            <w:r>
              <w:rPr>
                <w:rFonts w:hint="eastAsia" w:hAnsi="宋体"/>
                <w:color w:val="000000"/>
                <w:szCs w:val="21"/>
                <w:highlight w:val="none"/>
              </w:rPr>
              <w:t>投标人名称</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54B37079">
            <w:pPr>
              <w:jc w:val="center"/>
              <w:rPr>
                <w:rFonts w:hint="eastAsia" w:hAnsi="宋体"/>
                <w:color w:val="000000"/>
                <w:szCs w:val="21"/>
                <w:highlight w:val="none"/>
              </w:rPr>
            </w:pPr>
            <w:r>
              <w:rPr>
                <w:rFonts w:hint="eastAsia" w:hAnsi="宋体"/>
                <w:color w:val="000000"/>
                <w:szCs w:val="21"/>
                <w:highlight w:val="none"/>
              </w:rPr>
              <w:t>与营业执照、资质证书一致</w:t>
            </w:r>
          </w:p>
        </w:tc>
      </w:tr>
      <w:tr w14:paraId="0515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65" w:type="dxa"/>
            <w:vMerge w:val="continue"/>
            <w:tcBorders>
              <w:left w:val="single" w:color="auto" w:sz="4" w:space="0"/>
              <w:right w:val="single" w:color="auto" w:sz="4" w:space="0"/>
            </w:tcBorders>
            <w:noWrap w:val="0"/>
            <w:vAlign w:val="center"/>
          </w:tcPr>
          <w:p w14:paraId="31E533CC">
            <w:pPr>
              <w:spacing w:line="276" w:lineRule="auto"/>
              <w:ind w:firstLine="210" w:firstLineChars="100"/>
              <w:rPr>
                <w:rFonts w:hint="eastAsia"/>
                <w:color w:val="000000"/>
                <w:highlight w:val="none"/>
              </w:rPr>
            </w:pPr>
          </w:p>
        </w:tc>
        <w:tc>
          <w:tcPr>
            <w:tcW w:w="765" w:type="dxa"/>
            <w:gridSpan w:val="2"/>
            <w:vMerge w:val="continue"/>
            <w:tcBorders>
              <w:left w:val="single" w:color="auto" w:sz="4" w:space="0"/>
              <w:right w:val="single" w:color="auto" w:sz="4" w:space="0"/>
            </w:tcBorders>
            <w:noWrap w:val="0"/>
            <w:vAlign w:val="center"/>
          </w:tcPr>
          <w:p w14:paraId="256DD307">
            <w:pPr>
              <w:spacing w:line="276" w:lineRule="auto"/>
              <w:ind w:firstLine="210" w:firstLineChars="100"/>
              <w:rPr>
                <w:rFonts w:hint="eastAsia"/>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47DEF2C9">
            <w:pPr>
              <w:jc w:val="center"/>
              <w:rPr>
                <w:rFonts w:hint="eastAsia" w:hAnsi="宋体"/>
                <w:color w:val="000000"/>
                <w:szCs w:val="21"/>
                <w:highlight w:val="none"/>
              </w:rPr>
            </w:pPr>
            <w:r>
              <w:rPr>
                <w:rFonts w:hint="eastAsia" w:hAnsi="宋体"/>
                <w:color w:val="000000"/>
                <w:szCs w:val="21"/>
                <w:highlight w:val="none"/>
              </w:rPr>
              <w:t>投标文件格式</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3F7A3068">
            <w:pPr>
              <w:jc w:val="center"/>
              <w:rPr>
                <w:rFonts w:hint="eastAsia" w:hAnsi="宋体"/>
                <w:color w:val="000000"/>
                <w:szCs w:val="21"/>
                <w:highlight w:val="none"/>
              </w:rPr>
            </w:pPr>
            <w:r>
              <w:rPr>
                <w:rFonts w:hint="eastAsia" w:hAnsi="宋体"/>
                <w:color w:val="000000"/>
                <w:szCs w:val="21"/>
                <w:highlight w:val="none"/>
              </w:rPr>
              <w:t>符合第八章“投标文件格式”的要求</w:t>
            </w:r>
          </w:p>
        </w:tc>
      </w:tr>
      <w:tr w14:paraId="7973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5" w:type="dxa"/>
            <w:vMerge w:val="continue"/>
            <w:tcBorders>
              <w:left w:val="single" w:color="auto" w:sz="4" w:space="0"/>
              <w:bottom w:val="single" w:color="auto" w:sz="4" w:space="0"/>
              <w:right w:val="single" w:color="auto" w:sz="4" w:space="0"/>
            </w:tcBorders>
            <w:noWrap w:val="0"/>
            <w:vAlign w:val="center"/>
          </w:tcPr>
          <w:p w14:paraId="74866652">
            <w:pPr>
              <w:spacing w:line="276" w:lineRule="auto"/>
              <w:ind w:firstLine="210" w:firstLineChars="100"/>
              <w:rPr>
                <w:rFonts w:hint="eastAsia"/>
                <w:color w:val="000000"/>
                <w:highlight w:val="none"/>
              </w:rPr>
            </w:pPr>
          </w:p>
        </w:tc>
        <w:tc>
          <w:tcPr>
            <w:tcW w:w="765" w:type="dxa"/>
            <w:gridSpan w:val="2"/>
            <w:vMerge w:val="continue"/>
            <w:tcBorders>
              <w:left w:val="single" w:color="auto" w:sz="4" w:space="0"/>
              <w:bottom w:val="single" w:color="auto" w:sz="4" w:space="0"/>
              <w:right w:val="single" w:color="auto" w:sz="4" w:space="0"/>
            </w:tcBorders>
            <w:noWrap w:val="0"/>
            <w:vAlign w:val="center"/>
          </w:tcPr>
          <w:p w14:paraId="2914DE35">
            <w:pPr>
              <w:spacing w:line="276" w:lineRule="auto"/>
              <w:ind w:firstLine="210" w:firstLineChars="100"/>
              <w:rPr>
                <w:rFonts w:hint="eastAsia"/>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2A703D6E">
            <w:pPr>
              <w:jc w:val="center"/>
              <w:rPr>
                <w:rFonts w:hint="eastAsia" w:hAnsi="宋体"/>
                <w:color w:val="000000"/>
                <w:szCs w:val="21"/>
                <w:highlight w:val="none"/>
              </w:rPr>
            </w:pPr>
            <w:r>
              <w:rPr>
                <w:rFonts w:hint="eastAsia" w:hAnsi="宋体"/>
                <w:color w:val="000000"/>
                <w:szCs w:val="21"/>
                <w:highlight w:val="none"/>
              </w:rPr>
              <w:t>报价唯一</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69C085FB">
            <w:pPr>
              <w:jc w:val="center"/>
              <w:rPr>
                <w:rFonts w:hAnsi="宋体"/>
                <w:color w:val="000000"/>
                <w:szCs w:val="21"/>
                <w:highlight w:val="none"/>
              </w:rPr>
            </w:pPr>
            <w:r>
              <w:rPr>
                <w:rFonts w:hint="eastAsia" w:hAnsi="宋体"/>
                <w:color w:val="000000"/>
                <w:szCs w:val="21"/>
                <w:highlight w:val="none"/>
              </w:rPr>
              <w:t>只能有一个有效报价</w:t>
            </w:r>
          </w:p>
        </w:tc>
      </w:tr>
      <w:tr w14:paraId="7A3C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5" w:type="dxa"/>
            <w:vMerge w:val="restart"/>
            <w:tcBorders>
              <w:top w:val="single" w:color="auto" w:sz="4" w:space="0"/>
              <w:left w:val="single" w:color="auto" w:sz="4" w:space="0"/>
              <w:bottom w:val="single" w:color="auto" w:sz="4" w:space="0"/>
              <w:right w:val="single" w:color="auto" w:sz="4" w:space="0"/>
            </w:tcBorders>
            <w:noWrap w:val="0"/>
            <w:vAlign w:val="center"/>
          </w:tcPr>
          <w:p w14:paraId="1A5BF9F3">
            <w:pPr>
              <w:jc w:val="center"/>
              <w:rPr>
                <w:color w:val="000000"/>
                <w:highlight w:val="none"/>
              </w:rPr>
            </w:pPr>
            <w:r>
              <w:rPr>
                <w:rFonts w:hint="eastAsia" w:ascii="宋体" w:hAnsi="宋体"/>
                <w:color w:val="000000"/>
                <w:szCs w:val="21"/>
                <w:highlight w:val="none"/>
              </w:rPr>
              <w:t>2.1.2</w:t>
            </w:r>
          </w:p>
        </w:tc>
        <w:tc>
          <w:tcPr>
            <w:tcW w:w="76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16864E1">
            <w:pPr>
              <w:jc w:val="center"/>
              <w:rPr>
                <w:color w:val="000000"/>
                <w:highlight w:val="none"/>
              </w:rPr>
            </w:pPr>
            <w:r>
              <w:rPr>
                <w:rFonts w:hint="eastAsia"/>
                <w:color w:val="000000"/>
                <w:highlight w:val="none"/>
              </w:rPr>
              <w:t>资格</w:t>
            </w:r>
          </w:p>
          <w:p w14:paraId="56CB8A0E">
            <w:pPr>
              <w:jc w:val="center"/>
              <w:rPr>
                <w:color w:val="000000"/>
                <w:highlight w:val="none"/>
              </w:rPr>
            </w:pPr>
            <w:r>
              <w:rPr>
                <w:rFonts w:hint="eastAsia"/>
                <w:color w:val="000000"/>
                <w:highlight w:val="none"/>
              </w:rPr>
              <w:t>评审标准</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6F1D5F19">
            <w:pPr>
              <w:jc w:val="center"/>
              <w:rPr>
                <w:rFonts w:hAnsi="宋体"/>
                <w:color w:val="000000"/>
                <w:szCs w:val="21"/>
                <w:highlight w:val="none"/>
              </w:rPr>
            </w:pPr>
            <w:r>
              <w:rPr>
                <w:rFonts w:hint="eastAsia" w:hAnsi="宋体"/>
                <w:color w:val="000000"/>
                <w:szCs w:val="21"/>
                <w:highlight w:val="none"/>
              </w:rPr>
              <w:t>企业证件</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3E4D037F">
            <w:pPr>
              <w:jc w:val="center"/>
              <w:rPr>
                <w:color w:val="000000"/>
                <w:highlight w:val="none"/>
              </w:rPr>
            </w:pPr>
            <w:r>
              <w:rPr>
                <w:color w:val="000000"/>
                <w:szCs w:val="21"/>
                <w:highlight w:val="none"/>
              </w:rPr>
              <w:t>符合第二章“投标人须知”第1.4.1项规定</w:t>
            </w:r>
          </w:p>
        </w:tc>
      </w:tr>
      <w:tr w14:paraId="09DD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719B564">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539E8A">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547EE798">
            <w:pPr>
              <w:jc w:val="center"/>
              <w:rPr>
                <w:rFonts w:hAnsi="宋体"/>
                <w:color w:val="000000"/>
                <w:szCs w:val="21"/>
                <w:highlight w:val="none"/>
              </w:rPr>
            </w:pPr>
            <w:r>
              <w:rPr>
                <w:rFonts w:hint="eastAsia" w:hAnsi="宋体"/>
                <w:color w:val="000000"/>
                <w:szCs w:val="21"/>
                <w:highlight w:val="none"/>
              </w:rPr>
              <w:t>资质要求</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03E9BE89">
            <w:pPr>
              <w:jc w:val="center"/>
              <w:rPr>
                <w:rFonts w:hAnsi="宋体"/>
                <w:color w:val="000000"/>
                <w:szCs w:val="21"/>
                <w:highlight w:val="none"/>
              </w:rPr>
            </w:pPr>
            <w:r>
              <w:rPr>
                <w:color w:val="000000"/>
                <w:szCs w:val="21"/>
                <w:highlight w:val="none"/>
              </w:rPr>
              <w:t>符合第二章“投标人须知”第1.4.1项规定</w:t>
            </w:r>
          </w:p>
        </w:tc>
      </w:tr>
      <w:tr w14:paraId="57BA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11F8937B">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927D15">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3D6B520B">
            <w:pPr>
              <w:jc w:val="center"/>
              <w:rPr>
                <w:rFonts w:hAnsi="宋体"/>
                <w:color w:val="000000"/>
                <w:szCs w:val="21"/>
                <w:highlight w:val="none"/>
              </w:rPr>
            </w:pPr>
            <w:r>
              <w:rPr>
                <w:rFonts w:hint="eastAsia" w:hAnsi="宋体"/>
                <w:color w:val="000000"/>
                <w:szCs w:val="21"/>
                <w:highlight w:val="none"/>
              </w:rPr>
              <w:t>项目经理、技术负责人</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35E765B4">
            <w:pPr>
              <w:jc w:val="center"/>
              <w:rPr>
                <w:rFonts w:hAnsi="宋体"/>
                <w:color w:val="000000"/>
                <w:szCs w:val="21"/>
                <w:highlight w:val="none"/>
              </w:rPr>
            </w:pPr>
            <w:r>
              <w:rPr>
                <w:color w:val="000000"/>
                <w:szCs w:val="21"/>
                <w:highlight w:val="none"/>
              </w:rPr>
              <w:t>符合第二章“投标人须知”第1.4.1项规定</w:t>
            </w:r>
          </w:p>
        </w:tc>
      </w:tr>
      <w:tr w14:paraId="2BD5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1A05C027">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A62007">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6B7B8551">
            <w:pPr>
              <w:jc w:val="center"/>
              <w:rPr>
                <w:rFonts w:hAnsi="宋体"/>
                <w:color w:val="000000"/>
                <w:szCs w:val="21"/>
                <w:highlight w:val="none"/>
              </w:rPr>
            </w:pPr>
            <w:r>
              <w:rPr>
                <w:rFonts w:hint="eastAsia" w:ascii="宋体" w:hAnsi="宋体"/>
                <w:color w:val="000000"/>
                <w:szCs w:val="21"/>
                <w:highlight w:val="none"/>
              </w:rPr>
              <w:t>具有良好的商业信誉和健全的财务会计制度</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2B1BD432">
            <w:pPr>
              <w:jc w:val="center"/>
              <w:rPr>
                <w:color w:val="000000"/>
                <w:highlight w:val="none"/>
              </w:rPr>
            </w:pPr>
            <w:r>
              <w:rPr>
                <w:rFonts w:hint="eastAsia"/>
                <w:color w:val="000000"/>
                <w:highlight w:val="none"/>
              </w:rPr>
              <w:t>符合第二章“投标人须知”第1.4.1项规定</w:t>
            </w:r>
          </w:p>
        </w:tc>
      </w:tr>
      <w:tr w14:paraId="7DFE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621425BA">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6D07A5">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25D89FC7">
            <w:pPr>
              <w:rPr>
                <w:rFonts w:hint="eastAsia"/>
                <w:color w:val="000000"/>
                <w:highlight w:val="none"/>
              </w:rPr>
            </w:pPr>
            <w:r>
              <w:rPr>
                <w:rFonts w:hint="eastAsia"/>
                <w:color w:val="000000"/>
                <w:highlight w:val="none"/>
              </w:rPr>
              <w:t>具有履行合同所必需的设备和专业技术能力</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36C0CEA4">
            <w:pPr>
              <w:jc w:val="center"/>
              <w:rPr>
                <w:rFonts w:hint="eastAsia"/>
                <w:color w:val="000000"/>
                <w:highlight w:val="none"/>
              </w:rPr>
            </w:pPr>
            <w:r>
              <w:rPr>
                <w:rFonts w:hint="eastAsia"/>
                <w:color w:val="000000"/>
                <w:highlight w:val="none"/>
              </w:rPr>
              <w:t>符合第二章“投标人须知”第1.4.1项规定</w:t>
            </w:r>
          </w:p>
        </w:tc>
      </w:tr>
      <w:tr w14:paraId="4623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39DFF359">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AC00A6">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2E92CC00">
            <w:pPr>
              <w:jc w:val="center"/>
              <w:rPr>
                <w:rFonts w:hAnsi="宋体"/>
                <w:color w:val="000000"/>
                <w:szCs w:val="21"/>
                <w:highlight w:val="none"/>
              </w:rPr>
            </w:pPr>
            <w:r>
              <w:rPr>
                <w:rFonts w:hint="eastAsia" w:ascii="宋体" w:hAnsi="宋体" w:cs="宋体"/>
                <w:color w:val="000000"/>
                <w:kern w:val="0"/>
                <w:szCs w:val="21"/>
                <w:highlight w:val="none"/>
              </w:rPr>
              <w:t>具有依法缴纳税收和社会保障资金的良好记录</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0E6BC4D1">
            <w:pPr>
              <w:snapToGrid w:val="0"/>
              <w:jc w:val="center"/>
              <w:rPr>
                <w:color w:val="000000"/>
                <w:szCs w:val="21"/>
                <w:highlight w:val="none"/>
              </w:rPr>
            </w:pPr>
            <w:r>
              <w:rPr>
                <w:color w:val="000000"/>
                <w:szCs w:val="21"/>
                <w:highlight w:val="none"/>
              </w:rPr>
              <w:t>符合第二章“投标人须知”第1.4.1项规定</w:t>
            </w:r>
          </w:p>
        </w:tc>
      </w:tr>
      <w:tr w14:paraId="7994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C190F64">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AA2E4C">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1B98BE84">
            <w:pPr>
              <w:rPr>
                <w:rFonts w:hint="eastAsia"/>
                <w:color w:val="000000"/>
                <w:highlight w:val="none"/>
              </w:rPr>
            </w:pPr>
            <w:r>
              <w:rPr>
                <w:rFonts w:hint="eastAsia"/>
                <w:color w:val="000000"/>
                <w:highlight w:val="none"/>
              </w:rPr>
              <w:t>参加招投标活动前三年内，在经营活动中没有重大违法记录</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295BAC23">
            <w:pPr>
              <w:jc w:val="center"/>
              <w:rPr>
                <w:color w:val="000000"/>
                <w:highlight w:val="none"/>
              </w:rPr>
            </w:pPr>
            <w:r>
              <w:rPr>
                <w:rFonts w:hint="eastAsia"/>
                <w:color w:val="000000"/>
                <w:highlight w:val="none"/>
              </w:rPr>
              <w:t>符合第二章“投标人须知”第1.4.1项规定</w:t>
            </w:r>
          </w:p>
        </w:tc>
      </w:tr>
      <w:tr w14:paraId="4F1F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03689D5">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C468AA">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204AE81F">
            <w:pPr>
              <w:rPr>
                <w:rFonts w:hint="eastAsia"/>
                <w:color w:val="000000"/>
                <w:highlight w:val="none"/>
              </w:rPr>
            </w:pPr>
            <w:r>
              <w:rPr>
                <w:rFonts w:hint="eastAsia"/>
                <w:color w:val="000000"/>
                <w:highlight w:val="none"/>
              </w:rPr>
              <w:t>投标人未列入“中国执行信息公开网”网站“失信被执行人”、“信用中国”网站“重大税收违法失信主体”以及“中国政府采购网”网站“政府采购严重违法失信行为名单”</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71F64109">
            <w:pPr>
              <w:jc w:val="center"/>
              <w:rPr>
                <w:rFonts w:hint="eastAsia"/>
                <w:color w:val="000000"/>
                <w:highlight w:val="none"/>
              </w:rPr>
            </w:pPr>
            <w:r>
              <w:rPr>
                <w:rFonts w:hint="eastAsia"/>
                <w:color w:val="000000"/>
                <w:highlight w:val="none"/>
              </w:rPr>
              <w:t>符合第二章“投标人须知”第1.4.1项规定</w:t>
            </w:r>
          </w:p>
        </w:tc>
      </w:tr>
      <w:tr w14:paraId="679F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24408E1">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A070E6">
            <w:pPr>
              <w:widowControl/>
              <w:jc w:val="left"/>
              <w:rPr>
                <w:color w:val="000000"/>
                <w:highlight w:val="none"/>
              </w:rPr>
            </w:pPr>
          </w:p>
        </w:tc>
        <w:tc>
          <w:tcPr>
            <w:tcW w:w="2255" w:type="dxa"/>
            <w:tcBorders>
              <w:top w:val="single" w:color="auto" w:sz="4" w:space="0"/>
              <w:left w:val="single" w:color="auto" w:sz="4" w:space="0"/>
              <w:bottom w:val="single" w:color="auto" w:sz="4" w:space="0"/>
              <w:right w:val="single" w:color="auto" w:sz="4" w:space="0"/>
            </w:tcBorders>
            <w:noWrap w:val="0"/>
            <w:vAlign w:val="center"/>
          </w:tcPr>
          <w:p w14:paraId="7C79038D">
            <w:pPr>
              <w:rPr>
                <w:rFonts w:hint="eastAsia" w:eastAsia="宋体"/>
                <w:color w:val="000000"/>
                <w:highlight w:val="none"/>
                <w:lang w:val="en-US" w:eastAsia="zh-CN"/>
              </w:rPr>
            </w:pPr>
            <w:r>
              <w:rPr>
                <w:rFonts w:hint="eastAsia"/>
                <w:color w:val="000000"/>
                <w:highlight w:val="none"/>
                <w:lang w:val="en-US" w:eastAsia="zh-CN"/>
              </w:rPr>
              <w:t>其它</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3FCC6050">
            <w:pPr>
              <w:jc w:val="center"/>
              <w:rPr>
                <w:rFonts w:hint="eastAsia"/>
                <w:color w:val="000000"/>
                <w:highlight w:val="none"/>
              </w:rPr>
            </w:pPr>
            <w:r>
              <w:rPr>
                <w:rFonts w:hint="eastAsia"/>
                <w:color w:val="000000"/>
                <w:highlight w:val="none"/>
              </w:rPr>
              <w:t>符合第二章“投标人须知”第1.4.1项规定</w:t>
            </w:r>
          </w:p>
        </w:tc>
      </w:tr>
      <w:tr w14:paraId="0060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6756DBC">
            <w:pPr>
              <w:widowControl/>
              <w:jc w:val="left"/>
              <w:rPr>
                <w:color w:val="000000"/>
                <w:highlight w:val="non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00F919">
            <w:pPr>
              <w:widowControl/>
              <w:jc w:val="left"/>
              <w:rPr>
                <w:color w:val="000000"/>
                <w:highlight w:val="none"/>
              </w:rPr>
            </w:pPr>
          </w:p>
        </w:tc>
        <w:tc>
          <w:tcPr>
            <w:tcW w:w="7813" w:type="dxa"/>
            <w:gridSpan w:val="3"/>
            <w:tcBorders>
              <w:top w:val="single" w:color="auto" w:sz="4" w:space="0"/>
              <w:left w:val="single" w:color="auto" w:sz="4" w:space="0"/>
              <w:bottom w:val="single" w:color="auto" w:sz="4" w:space="0"/>
              <w:right w:val="single" w:color="auto" w:sz="4" w:space="0"/>
            </w:tcBorders>
            <w:noWrap w:val="0"/>
            <w:vAlign w:val="center"/>
          </w:tcPr>
          <w:p w14:paraId="5357A249">
            <w:pPr>
              <w:rPr>
                <w:color w:val="000000"/>
                <w:highlight w:val="none"/>
              </w:rPr>
            </w:pPr>
            <w:r>
              <w:rPr>
                <w:rFonts w:hint="eastAsia"/>
                <w:color w:val="000000"/>
                <w:highlight w:val="none"/>
              </w:rPr>
              <w:t>注：</w:t>
            </w:r>
            <w:r>
              <w:rPr>
                <w:color w:val="000000"/>
                <w:highlight w:val="none"/>
              </w:rPr>
              <w:t>1</w:t>
            </w:r>
            <w:r>
              <w:rPr>
                <w:rFonts w:hint="eastAsia"/>
                <w:color w:val="000000"/>
                <w:highlight w:val="none"/>
              </w:rPr>
              <w:t>、以上内容以各投标人上传的电子版投标文件为准，缺项或提供资料不符合要求均视为资格审查未通过，不再进入下一轮评审。</w:t>
            </w:r>
          </w:p>
          <w:p w14:paraId="3F15B5BD">
            <w:pPr>
              <w:rPr>
                <w:color w:val="000000"/>
                <w:highlight w:val="none"/>
              </w:rPr>
            </w:pPr>
            <w:r>
              <w:rPr>
                <w:color w:val="000000"/>
                <w:highlight w:val="none"/>
              </w:rPr>
              <w:t>2</w:t>
            </w:r>
            <w:r>
              <w:rPr>
                <w:rFonts w:hint="eastAsia"/>
                <w:color w:val="000000"/>
                <w:highlight w:val="none"/>
              </w:rPr>
              <w:t>、如投标单位为新成立企业，可提供注册后的相关证明材料。</w:t>
            </w:r>
          </w:p>
        </w:tc>
      </w:tr>
      <w:tr w14:paraId="7ADF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5" w:type="dxa"/>
            <w:vMerge w:val="restart"/>
            <w:tcBorders>
              <w:top w:val="single" w:color="auto" w:sz="4" w:space="0"/>
              <w:left w:val="single" w:color="auto" w:sz="4" w:space="0"/>
              <w:right w:val="single" w:color="auto" w:sz="4" w:space="0"/>
            </w:tcBorders>
            <w:noWrap w:val="0"/>
            <w:vAlign w:val="center"/>
          </w:tcPr>
          <w:p w14:paraId="6CB80B1A">
            <w:pPr>
              <w:spacing w:line="360" w:lineRule="auto"/>
              <w:rPr>
                <w:rFonts w:ascii="宋体" w:hAnsi="宋体"/>
                <w:color w:val="000000"/>
                <w:szCs w:val="21"/>
                <w:highlight w:val="none"/>
              </w:rPr>
            </w:pPr>
            <w:r>
              <w:rPr>
                <w:rFonts w:hint="eastAsia" w:ascii="宋体" w:hAnsi="宋体"/>
                <w:color w:val="000000"/>
                <w:szCs w:val="21"/>
                <w:highlight w:val="none"/>
              </w:rPr>
              <w:t>2.1.3</w:t>
            </w:r>
          </w:p>
        </w:tc>
        <w:tc>
          <w:tcPr>
            <w:tcW w:w="758" w:type="dxa"/>
            <w:vMerge w:val="restart"/>
            <w:tcBorders>
              <w:top w:val="single" w:color="auto" w:sz="4" w:space="0"/>
              <w:left w:val="single" w:color="auto" w:sz="4" w:space="0"/>
              <w:right w:val="single" w:color="auto" w:sz="4" w:space="0"/>
            </w:tcBorders>
            <w:noWrap w:val="0"/>
            <w:vAlign w:val="center"/>
          </w:tcPr>
          <w:p w14:paraId="6D072EFD">
            <w:pPr>
              <w:jc w:val="center"/>
              <w:rPr>
                <w:rFonts w:ascii="宋体" w:hAnsi="宋体"/>
                <w:color w:val="000000"/>
                <w:szCs w:val="21"/>
                <w:highlight w:val="none"/>
              </w:rPr>
            </w:pPr>
            <w:r>
              <w:rPr>
                <w:rFonts w:hint="eastAsia"/>
                <w:color w:val="000000"/>
                <w:highlight w:val="none"/>
              </w:rPr>
              <w:t>响应性评审标准</w:t>
            </w:r>
          </w:p>
        </w:tc>
        <w:tc>
          <w:tcPr>
            <w:tcW w:w="2452" w:type="dxa"/>
            <w:gridSpan w:val="3"/>
            <w:tcBorders>
              <w:top w:val="single" w:color="auto" w:sz="4" w:space="0"/>
              <w:left w:val="single" w:color="auto" w:sz="4" w:space="0"/>
              <w:bottom w:val="single" w:color="auto" w:sz="4" w:space="0"/>
              <w:right w:val="single" w:color="auto" w:sz="4" w:space="0"/>
            </w:tcBorders>
            <w:noWrap w:val="0"/>
            <w:vAlign w:val="center"/>
          </w:tcPr>
          <w:p w14:paraId="3569DA47">
            <w:pPr>
              <w:jc w:val="center"/>
              <w:rPr>
                <w:rFonts w:ascii="宋体" w:hAnsi="宋体"/>
                <w:color w:val="000000"/>
                <w:szCs w:val="21"/>
                <w:highlight w:val="none"/>
              </w:rPr>
            </w:pPr>
            <w:r>
              <w:rPr>
                <w:rFonts w:hint="eastAsia" w:ascii="宋体" w:hAnsi="宋体"/>
                <w:color w:val="000000"/>
                <w:szCs w:val="21"/>
                <w:highlight w:val="none"/>
              </w:rPr>
              <w:t>投标报价</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371F7D0C">
            <w:pPr>
              <w:jc w:val="center"/>
              <w:rPr>
                <w:rFonts w:ascii="宋体" w:hAnsi="宋体"/>
                <w:color w:val="000000"/>
                <w:szCs w:val="21"/>
                <w:highlight w:val="none"/>
              </w:rPr>
            </w:pPr>
            <w:r>
              <w:rPr>
                <w:rFonts w:hint="eastAsia" w:ascii="宋体" w:hAnsi="宋体"/>
                <w:color w:val="000000"/>
                <w:szCs w:val="21"/>
                <w:highlight w:val="none"/>
              </w:rPr>
              <w:t>经评委评审投报价格合理且未超出招标控制价</w:t>
            </w:r>
          </w:p>
        </w:tc>
      </w:tr>
      <w:tr w14:paraId="133D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5" w:type="dxa"/>
            <w:vMerge w:val="continue"/>
            <w:tcBorders>
              <w:left w:val="single" w:color="auto" w:sz="4" w:space="0"/>
              <w:right w:val="single" w:color="auto" w:sz="4" w:space="0"/>
            </w:tcBorders>
            <w:noWrap w:val="0"/>
            <w:vAlign w:val="center"/>
          </w:tcPr>
          <w:p w14:paraId="6E625BA3">
            <w:pPr>
              <w:widowControl/>
              <w:jc w:val="left"/>
              <w:rPr>
                <w:rFonts w:ascii="宋体" w:hAnsi="宋体"/>
                <w:color w:val="000000"/>
                <w:szCs w:val="21"/>
                <w:highlight w:val="none"/>
              </w:rPr>
            </w:pPr>
          </w:p>
        </w:tc>
        <w:tc>
          <w:tcPr>
            <w:tcW w:w="758" w:type="dxa"/>
            <w:vMerge w:val="continue"/>
            <w:tcBorders>
              <w:left w:val="single" w:color="auto" w:sz="4" w:space="0"/>
              <w:right w:val="single" w:color="auto" w:sz="4" w:space="0"/>
            </w:tcBorders>
            <w:noWrap w:val="0"/>
            <w:vAlign w:val="center"/>
          </w:tcPr>
          <w:p w14:paraId="21421AE0">
            <w:pPr>
              <w:widowControl/>
              <w:jc w:val="left"/>
              <w:rPr>
                <w:rFonts w:ascii="宋体" w:hAnsi="宋体"/>
                <w:color w:val="000000"/>
                <w:szCs w:val="21"/>
                <w:highlight w:val="none"/>
              </w:rPr>
            </w:pPr>
          </w:p>
        </w:tc>
        <w:tc>
          <w:tcPr>
            <w:tcW w:w="2452" w:type="dxa"/>
            <w:gridSpan w:val="3"/>
            <w:tcBorders>
              <w:top w:val="single" w:color="auto" w:sz="4" w:space="0"/>
              <w:left w:val="single" w:color="auto" w:sz="4" w:space="0"/>
              <w:bottom w:val="single" w:color="auto" w:sz="4" w:space="0"/>
              <w:right w:val="single" w:color="auto" w:sz="4" w:space="0"/>
            </w:tcBorders>
            <w:noWrap w:val="0"/>
            <w:vAlign w:val="center"/>
          </w:tcPr>
          <w:p w14:paraId="634A074A">
            <w:pPr>
              <w:spacing w:line="360" w:lineRule="auto"/>
              <w:jc w:val="center"/>
              <w:rPr>
                <w:color w:val="000000"/>
                <w:highlight w:val="none"/>
              </w:rPr>
            </w:pPr>
            <w:r>
              <w:rPr>
                <w:rFonts w:hint="eastAsia" w:ascii="宋体" w:hAnsi="宋体"/>
                <w:color w:val="000000"/>
                <w:highlight w:val="none"/>
              </w:rPr>
              <w:t>计划工期</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29351DCD">
            <w:pPr>
              <w:spacing w:line="360" w:lineRule="auto"/>
              <w:jc w:val="center"/>
              <w:rPr>
                <w:color w:val="000000"/>
                <w:highlight w:val="none"/>
              </w:rPr>
            </w:pPr>
            <w:r>
              <w:rPr>
                <w:rFonts w:hint="eastAsia" w:ascii="宋体" w:hAnsi="宋体" w:cs="宋体"/>
                <w:color w:val="000000"/>
                <w:kern w:val="0"/>
                <w:szCs w:val="21"/>
                <w:highlight w:val="none"/>
              </w:rPr>
              <w:t>符合第二章“投标人须知”第1.3.2项规定</w:t>
            </w:r>
          </w:p>
        </w:tc>
      </w:tr>
      <w:tr w14:paraId="4EBB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5" w:type="dxa"/>
            <w:vMerge w:val="continue"/>
            <w:tcBorders>
              <w:left w:val="single" w:color="auto" w:sz="4" w:space="0"/>
              <w:right w:val="single" w:color="auto" w:sz="4" w:space="0"/>
            </w:tcBorders>
            <w:noWrap w:val="0"/>
            <w:vAlign w:val="center"/>
          </w:tcPr>
          <w:p w14:paraId="6F93FFE4">
            <w:pPr>
              <w:widowControl/>
              <w:jc w:val="left"/>
              <w:rPr>
                <w:rFonts w:ascii="宋体" w:hAnsi="宋体"/>
                <w:color w:val="000000"/>
                <w:szCs w:val="21"/>
                <w:highlight w:val="none"/>
              </w:rPr>
            </w:pPr>
          </w:p>
        </w:tc>
        <w:tc>
          <w:tcPr>
            <w:tcW w:w="758" w:type="dxa"/>
            <w:vMerge w:val="continue"/>
            <w:tcBorders>
              <w:left w:val="single" w:color="auto" w:sz="4" w:space="0"/>
              <w:right w:val="single" w:color="auto" w:sz="4" w:space="0"/>
            </w:tcBorders>
            <w:noWrap w:val="0"/>
            <w:vAlign w:val="center"/>
          </w:tcPr>
          <w:p w14:paraId="3BFCBD19">
            <w:pPr>
              <w:widowControl/>
              <w:jc w:val="left"/>
              <w:rPr>
                <w:rFonts w:ascii="宋体" w:hAnsi="宋体"/>
                <w:color w:val="000000"/>
                <w:szCs w:val="21"/>
                <w:highlight w:val="none"/>
              </w:rPr>
            </w:pPr>
          </w:p>
        </w:tc>
        <w:tc>
          <w:tcPr>
            <w:tcW w:w="2452" w:type="dxa"/>
            <w:gridSpan w:val="3"/>
            <w:tcBorders>
              <w:top w:val="single" w:color="auto" w:sz="4" w:space="0"/>
              <w:left w:val="single" w:color="auto" w:sz="4" w:space="0"/>
              <w:bottom w:val="single" w:color="auto" w:sz="4" w:space="0"/>
              <w:right w:val="single" w:color="auto" w:sz="4" w:space="0"/>
            </w:tcBorders>
            <w:noWrap w:val="0"/>
            <w:vAlign w:val="center"/>
          </w:tcPr>
          <w:p w14:paraId="536DB795">
            <w:pPr>
              <w:spacing w:line="360" w:lineRule="auto"/>
              <w:jc w:val="center"/>
              <w:rPr>
                <w:color w:val="000000"/>
                <w:highlight w:val="none"/>
              </w:rPr>
            </w:pPr>
            <w:r>
              <w:rPr>
                <w:rFonts w:hint="eastAsia" w:ascii="宋体" w:hAnsi="宋体"/>
                <w:color w:val="000000"/>
                <w:highlight w:val="none"/>
              </w:rPr>
              <w:t>质量标准</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642CFFDE">
            <w:pPr>
              <w:spacing w:line="360" w:lineRule="auto"/>
              <w:jc w:val="center"/>
              <w:rPr>
                <w:color w:val="000000"/>
                <w:highlight w:val="none"/>
              </w:rPr>
            </w:pPr>
            <w:r>
              <w:rPr>
                <w:rFonts w:hint="eastAsia" w:ascii="宋体" w:hAnsi="宋体" w:cs="宋体"/>
                <w:color w:val="000000"/>
                <w:kern w:val="0"/>
                <w:szCs w:val="21"/>
                <w:highlight w:val="none"/>
              </w:rPr>
              <w:t>符合第二章“投标人须知”第1.3.3项规定</w:t>
            </w:r>
          </w:p>
        </w:tc>
      </w:tr>
      <w:tr w14:paraId="4499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5" w:type="dxa"/>
            <w:vMerge w:val="continue"/>
            <w:tcBorders>
              <w:left w:val="single" w:color="auto" w:sz="4" w:space="0"/>
              <w:right w:val="single" w:color="auto" w:sz="4" w:space="0"/>
            </w:tcBorders>
            <w:noWrap w:val="0"/>
            <w:vAlign w:val="center"/>
          </w:tcPr>
          <w:p w14:paraId="7AA54D23">
            <w:pPr>
              <w:widowControl/>
              <w:jc w:val="left"/>
              <w:rPr>
                <w:rFonts w:ascii="宋体" w:hAnsi="宋体"/>
                <w:color w:val="000000"/>
                <w:szCs w:val="21"/>
                <w:highlight w:val="none"/>
              </w:rPr>
            </w:pPr>
          </w:p>
        </w:tc>
        <w:tc>
          <w:tcPr>
            <w:tcW w:w="758" w:type="dxa"/>
            <w:vMerge w:val="continue"/>
            <w:tcBorders>
              <w:left w:val="single" w:color="auto" w:sz="4" w:space="0"/>
              <w:right w:val="single" w:color="auto" w:sz="4" w:space="0"/>
            </w:tcBorders>
            <w:noWrap w:val="0"/>
            <w:vAlign w:val="center"/>
          </w:tcPr>
          <w:p w14:paraId="721B59DB">
            <w:pPr>
              <w:widowControl/>
              <w:jc w:val="left"/>
              <w:rPr>
                <w:rFonts w:ascii="宋体" w:hAnsi="宋体"/>
                <w:color w:val="000000"/>
                <w:szCs w:val="21"/>
                <w:highlight w:val="none"/>
              </w:rPr>
            </w:pPr>
          </w:p>
        </w:tc>
        <w:tc>
          <w:tcPr>
            <w:tcW w:w="2452" w:type="dxa"/>
            <w:gridSpan w:val="3"/>
            <w:tcBorders>
              <w:top w:val="single" w:color="auto" w:sz="4" w:space="0"/>
              <w:left w:val="single" w:color="auto" w:sz="4" w:space="0"/>
              <w:bottom w:val="single" w:color="auto" w:sz="4" w:space="0"/>
              <w:right w:val="single" w:color="auto" w:sz="4" w:space="0"/>
            </w:tcBorders>
            <w:noWrap w:val="0"/>
            <w:vAlign w:val="center"/>
          </w:tcPr>
          <w:p w14:paraId="10EC52DD">
            <w:pPr>
              <w:spacing w:line="360" w:lineRule="auto"/>
              <w:jc w:val="center"/>
              <w:rPr>
                <w:color w:val="000000"/>
                <w:highlight w:val="none"/>
              </w:rPr>
            </w:pPr>
            <w:r>
              <w:rPr>
                <w:rFonts w:hint="eastAsia" w:ascii="宋体" w:hAnsi="宋体"/>
                <w:color w:val="000000"/>
                <w:highlight w:val="none"/>
              </w:rPr>
              <w:t>投标有效期</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5900FC3C">
            <w:pPr>
              <w:spacing w:line="360" w:lineRule="auto"/>
              <w:jc w:val="center"/>
              <w:rPr>
                <w:color w:val="000000"/>
                <w:highlight w:val="none"/>
              </w:rPr>
            </w:pPr>
            <w:r>
              <w:rPr>
                <w:rFonts w:hint="eastAsia" w:ascii="宋体" w:hAnsi="宋体" w:cs="宋体"/>
                <w:color w:val="000000"/>
                <w:kern w:val="0"/>
                <w:szCs w:val="21"/>
                <w:highlight w:val="none"/>
              </w:rPr>
              <w:t>符合第二章“投标人须知”第3.3.1项规定</w:t>
            </w:r>
          </w:p>
        </w:tc>
      </w:tr>
      <w:tr w14:paraId="59E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65" w:type="dxa"/>
            <w:vMerge w:val="continue"/>
            <w:tcBorders>
              <w:left w:val="single" w:color="auto" w:sz="4" w:space="0"/>
              <w:bottom w:val="single" w:color="auto" w:sz="4" w:space="0"/>
              <w:right w:val="single" w:color="auto" w:sz="4" w:space="0"/>
            </w:tcBorders>
            <w:noWrap w:val="0"/>
            <w:vAlign w:val="center"/>
          </w:tcPr>
          <w:p w14:paraId="17780FB6">
            <w:pPr>
              <w:widowControl/>
              <w:jc w:val="left"/>
              <w:rPr>
                <w:rFonts w:ascii="宋体" w:hAnsi="宋体"/>
                <w:color w:val="000000"/>
                <w:szCs w:val="21"/>
                <w:highlight w:val="none"/>
              </w:rPr>
            </w:pPr>
          </w:p>
        </w:tc>
        <w:tc>
          <w:tcPr>
            <w:tcW w:w="758" w:type="dxa"/>
            <w:vMerge w:val="continue"/>
            <w:tcBorders>
              <w:left w:val="single" w:color="auto" w:sz="4" w:space="0"/>
              <w:bottom w:val="single" w:color="auto" w:sz="4" w:space="0"/>
              <w:right w:val="single" w:color="auto" w:sz="4" w:space="0"/>
            </w:tcBorders>
            <w:noWrap w:val="0"/>
            <w:vAlign w:val="center"/>
          </w:tcPr>
          <w:p w14:paraId="57255888">
            <w:pPr>
              <w:widowControl/>
              <w:jc w:val="left"/>
              <w:rPr>
                <w:rFonts w:ascii="宋体" w:hAnsi="宋体"/>
                <w:color w:val="000000"/>
                <w:szCs w:val="21"/>
                <w:highlight w:val="none"/>
              </w:rPr>
            </w:pPr>
          </w:p>
        </w:tc>
        <w:tc>
          <w:tcPr>
            <w:tcW w:w="2452" w:type="dxa"/>
            <w:gridSpan w:val="3"/>
            <w:tcBorders>
              <w:top w:val="single" w:color="auto" w:sz="4" w:space="0"/>
              <w:left w:val="single" w:color="auto" w:sz="4" w:space="0"/>
              <w:bottom w:val="single" w:color="auto" w:sz="4" w:space="0"/>
              <w:right w:val="single" w:color="auto" w:sz="4" w:space="0"/>
            </w:tcBorders>
            <w:noWrap w:val="0"/>
            <w:vAlign w:val="center"/>
          </w:tcPr>
          <w:p w14:paraId="00399DA4">
            <w:pPr>
              <w:spacing w:line="360" w:lineRule="auto"/>
              <w:jc w:val="center"/>
              <w:rPr>
                <w:rFonts w:hint="eastAsia" w:ascii="宋体" w:hAnsi="宋体"/>
                <w:color w:val="000000"/>
                <w:highlight w:val="none"/>
              </w:rPr>
            </w:pPr>
            <w:r>
              <w:rPr>
                <w:rFonts w:ascii="宋体" w:hAnsi="宋体"/>
                <w:color w:val="000000"/>
                <w:highlight w:val="none"/>
              </w:rPr>
              <w:t>其他</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2AC9B49A">
            <w:pPr>
              <w:spacing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其他要求符合招标文件</w:t>
            </w:r>
          </w:p>
        </w:tc>
      </w:tr>
    </w:tbl>
    <w:p w14:paraId="1ECD7FEC">
      <w:pPr>
        <w:jc w:val="center"/>
        <w:rPr>
          <w:rFonts w:hint="eastAsia"/>
          <w:color w:val="000000"/>
          <w:sz w:val="28"/>
          <w:szCs w:val="28"/>
          <w:highlight w:val="none"/>
        </w:rPr>
      </w:pPr>
    </w:p>
    <w:p w14:paraId="59977645">
      <w:pPr>
        <w:jc w:val="center"/>
        <w:rPr>
          <w:color w:val="000000"/>
          <w:sz w:val="28"/>
          <w:szCs w:val="28"/>
          <w:highlight w:val="none"/>
        </w:rPr>
      </w:pPr>
      <w:r>
        <w:rPr>
          <w:rFonts w:hint="eastAsia"/>
          <w:color w:val="000000"/>
          <w:sz w:val="28"/>
          <w:szCs w:val="28"/>
          <w:highlight w:val="none"/>
        </w:rPr>
        <w:t>详细评审</w:t>
      </w:r>
    </w:p>
    <w:tbl>
      <w:tblPr>
        <w:tblStyle w:val="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527"/>
        <w:gridCol w:w="4597"/>
      </w:tblGrid>
      <w:tr w14:paraId="45BC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96" w:type="dxa"/>
            <w:tcBorders>
              <w:top w:val="single" w:color="auto" w:sz="4" w:space="0"/>
              <w:left w:val="single" w:color="auto" w:sz="4" w:space="0"/>
              <w:bottom w:val="single" w:color="auto" w:sz="4" w:space="0"/>
              <w:right w:val="single" w:color="auto" w:sz="4" w:space="0"/>
            </w:tcBorders>
            <w:noWrap w:val="0"/>
            <w:vAlign w:val="center"/>
          </w:tcPr>
          <w:p w14:paraId="12B19EB1">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款号</w:t>
            </w:r>
          </w:p>
        </w:tc>
        <w:tc>
          <w:tcPr>
            <w:tcW w:w="2527" w:type="dxa"/>
            <w:tcBorders>
              <w:top w:val="single" w:color="auto" w:sz="4" w:space="0"/>
              <w:left w:val="single" w:color="auto" w:sz="4" w:space="0"/>
              <w:bottom w:val="single" w:color="auto" w:sz="4" w:space="0"/>
              <w:right w:val="single" w:color="auto" w:sz="4" w:space="0"/>
            </w:tcBorders>
            <w:noWrap w:val="0"/>
            <w:vAlign w:val="center"/>
          </w:tcPr>
          <w:p w14:paraId="558EEBB0">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条款内容</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5185D4B7">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编列内容</w:t>
            </w:r>
          </w:p>
        </w:tc>
      </w:tr>
      <w:tr w14:paraId="454D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296" w:type="dxa"/>
            <w:tcBorders>
              <w:top w:val="single" w:color="auto" w:sz="4" w:space="0"/>
              <w:left w:val="single" w:color="auto" w:sz="4" w:space="0"/>
              <w:bottom w:val="single" w:color="auto" w:sz="4" w:space="0"/>
              <w:right w:val="single" w:color="auto" w:sz="4" w:space="0"/>
            </w:tcBorders>
            <w:noWrap w:val="0"/>
            <w:vAlign w:val="center"/>
          </w:tcPr>
          <w:p w14:paraId="1F53FADE">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2.2.1</w:t>
            </w:r>
          </w:p>
        </w:tc>
        <w:tc>
          <w:tcPr>
            <w:tcW w:w="2527" w:type="dxa"/>
            <w:tcBorders>
              <w:top w:val="single" w:color="auto" w:sz="4" w:space="0"/>
              <w:left w:val="single" w:color="auto" w:sz="4" w:space="0"/>
              <w:bottom w:val="single" w:color="auto" w:sz="4" w:space="0"/>
              <w:right w:val="single" w:color="auto" w:sz="4" w:space="0"/>
            </w:tcBorders>
            <w:noWrap w:val="0"/>
            <w:vAlign w:val="center"/>
          </w:tcPr>
          <w:p w14:paraId="68DADEE5">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分值构成</w:t>
            </w:r>
          </w:p>
          <w:p w14:paraId="2E728A10">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（总分100分）</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432DEBDB">
            <w:pPr>
              <w:tabs>
                <w:tab w:val="center" w:pos="4153"/>
                <w:tab w:val="right" w:pos="8306"/>
              </w:tabs>
              <w:snapToGrid w:val="0"/>
              <w:rPr>
                <w:rFonts w:ascii="宋体" w:hAnsi="宋体"/>
                <w:color w:val="000000"/>
                <w:szCs w:val="21"/>
                <w:highlight w:val="none"/>
              </w:rPr>
            </w:pPr>
            <w:r>
              <w:rPr>
                <w:rFonts w:hint="eastAsia" w:ascii="宋体" w:hAnsi="宋体"/>
                <w:color w:val="000000"/>
                <w:szCs w:val="21"/>
                <w:highlight w:val="none"/>
              </w:rPr>
              <w:t>商务标：</w:t>
            </w:r>
            <w:r>
              <w:rPr>
                <w:rFonts w:hint="eastAsia" w:ascii="宋体" w:hAnsi="宋体"/>
                <w:color w:val="000000"/>
                <w:szCs w:val="21"/>
                <w:highlight w:val="none"/>
                <w:u w:val="single"/>
              </w:rPr>
              <w:t xml:space="preserve">  50 </w:t>
            </w:r>
            <w:r>
              <w:rPr>
                <w:rFonts w:hint="eastAsia" w:ascii="宋体" w:hAnsi="宋体"/>
                <w:color w:val="000000"/>
                <w:szCs w:val="21"/>
                <w:highlight w:val="none"/>
              </w:rPr>
              <w:t>分</w:t>
            </w:r>
          </w:p>
          <w:p w14:paraId="406EBE6F">
            <w:pPr>
              <w:tabs>
                <w:tab w:val="center" w:pos="4153"/>
                <w:tab w:val="right" w:pos="8306"/>
              </w:tabs>
              <w:snapToGrid w:val="0"/>
              <w:rPr>
                <w:rFonts w:hint="eastAsia" w:ascii="宋体" w:hAnsi="宋体"/>
                <w:color w:val="000000"/>
                <w:szCs w:val="21"/>
                <w:highlight w:val="none"/>
              </w:rPr>
            </w:pPr>
            <w:r>
              <w:rPr>
                <w:rFonts w:hint="eastAsia" w:ascii="宋体" w:hAnsi="宋体"/>
                <w:color w:val="000000"/>
                <w:szCs w:val="21"/>
                <w:highlight w:val="none"/>
              </w:rPr>
              <w:t>技术标：</w:t>
            </w:r>
            <w:r>
              <w:rPr>
                <w:rFonts w:hint="eastAsia" w:ascii="宋体" w:hAnsi="宋体"/>
                <w:color w:val="000000"/>
                <w:szCs w:val="21"/>
                <w:highlight w:val="none"/>
                <w:u w:val="single"/>
              </w:rPr>
              <w:t xml:space="preserve">  25 </w:t>
            </w:r>
            <w:r>
              <w:rPr>
                <w:rFonts w:hint="eastAsia" w:ascii="宋体" w:hAnsi="宋体"/>
                <w:color w:val="000000"/>
                <w:szCs w:val="21"/>
                <w:highlight w:val="none"/>
              </w:rPr>
              <w:t>分</w:t>
            </w:r>
          </w:p>
          <w:p w14:paraId="12D1966E">
            <w:pPr>
              <w:tabs>
                <w:tab w:val="center" w:pos="4153"/>
                <w:tab w:val="right" w:pos="8306"/>
              </w:tabs>
              <w:snapToGrid w:val="0"/>
              <w:rPr>
                <w:rFonts w:ascii="宋体" w:hAnsi="宋体"/>
                <w:color w:val="000000"/>
                <w:szCs w:val="21"/>
                <w:highlight w:val="none"/>
              </w:rPr>
            </w:pPr>
            <w:r>
              <w:rPr>
                <w:rFonts w:hint="eastAsia" w:ascii="宋体" w:hAnsi="宋体"/>
                <w:color w:val="000000"/>
                <w:szCs w:val="21"/>
                <w:highlight w:val="none"/>
              </w:rPr>
              <w:t>综合标：</w:t>
            </w:r>
            <w:r>
              <w:rPr>
                <w:rFonts w:hint="eastAsia" w:ascii="宋体" w:hAnsi="宋体"/>
                <w:color w:val="000000"/>
                <w:szCs w:val="21"/>
                <w:highlight w:val="none"/>
                <w:u w:val="single"/>
              </w:rPr>
              <w:t xml:space="preserve">  25 </w:t>
            </w:r>
            <w:r>
              <w:rPr>
                <w:rFonts w:hint="eastAsia" w:ascii="宋体" w:hAnsi="宋体"/>
                <w:color w:val="000000"/>
                <w:szCs w:val="21"/>
                <w:highlight w:val="none"/>
              </w:rPr>
              <w:t>分</w:t>
            </w:r>
          </w:p>
        </w:tc>
      </w:tr>
      <w:tr w14:paraId="5A8A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96E8A95">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2.2.2</w:t>
            </w:r>
          </w:p>
        </w:tc>
        <w:tc>
          <w:tcPr>
            <w:tcW w:w="2527" w:type="dxa"/>
            <w:tcBorders>
              <w:top w:val="single" w:color="auto" w:sz="4" w:space="0"/>
              <w:left w:val="single" w:color="auto" w:sz="4" w:space="0"/>
              <w:bottom w:val="single" w:color="auto" w:sz="4" w:space="0"/>
              <w:right w:val="single" w:color="auto" w:sz="4" w:space="0"/>
            </w:tcBorders>
            <w:noWrap w:val="0"/>
            <w:vAlign w:val="center"/>
          </w:tcPr>
          <w:p w14:paraId="1508D26E">
            <w:pPr>
              <w:jc w:val="center"/>
              <w:rPr>
                <w:color w:val="000000"/>
                <w:highlight w:val="none"/>
              </w:rPr>
            </w:pPr>
            <w:r>
              <w:rPr>
                <w:rFonts w:hint="eastAsia"/>
                <w:color w:val="000000"/>
                <w:highlight w:val="none"/>
              </w:rPr>
              <w:t>评标基准价计算方法</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43EAEE75">
            <w:pPr>
              <w:rPr>
                <w:color w:val="000000"/>
                <w:highlight w:val="none"/>
              </w:rPr>
            </w:pPr>
            <w:r>
              <w:rPr>
                <w:rFonts w:hint="eastAsia"/>
                <w:color w:val="000000"/>
                <w:highlight w:val="none"/>
              </w:rPr>
              <w:t>评标基准价＝最高投标限价×</w:t>
            </w:r>
            <w:r>
              <w:rPr>
                <w:color w:val="000000"/>
                <w:highlight w:val="none"/>
              </w:rPr>
              <w:t>K+</w:t>
            </w:r>
            <w:r>
              <w:rPr>
                <w:rFonts w:hint="eastAsia"/>
                <w:color w:val="000000"/>
                <w:highlight w:val="none"/>
              </w:rPr>
              <w:t>投标报价×（</w:t>
            </w:r>
            <w:r>
              <w:rPr>
                <w:color w:val="000000"/>
                <w:highlight w:val="none"/>
              </w:rPr>
              <w:t>1</w:t>
            </w:r>
            <w:r>
              <w:rPr>
                <w:rFonts w:hint="eastAsia"/>
                <w:color w:val="000000"/>
                <w:highlight w:val="none"/>
              </w:rPr>
              <w:t>－</w:t>
            </w:r>
            <w:r>
              <w:rPr>
                <w:color w:val="000000"/>
                <w:highlight w:val="none"/>
              </w:rPr>
              <w:t>K</w:t>
            </w:r>
            <w:r>
              <w:rPr>
                <w:rFonts w:hint="eastAsia"/>
                <w:color w:val="000000"/>
                <w:highlight w:val="none"/>
              </w:rPr>
              <w:t>）。</w:t>
            </w:r>
          </w:p>
          <w:p w14:paraId="1C8CF14D">
            <w:pPr>
              <w:rPr>
                <w:color w:val="000000"/>
                <w:highlight w:val="none"/>
              </w:rPr>
            </w:pPr>
            <w:r>
              <w:rPr>
                <w:rFonts w:hint="eastAsia"/>
                <w:color w:val="000000"/>
                <w:highlight w:val="none"/>
              </w:rPr>
              <w:t>投标报价为各投标人有效投标报价去掉一个最高和一个最低报价后的算术平均值，当有效投标少于</w:t>
            </w:r>
            <w:r>
              <w:rPr>
                <w:color w:val="000000"/>
                <w:highlight w:val="none"/>
              </w:rPr>
              <w:t>5</w:t>
            </w:r>
            <w:r>
              <w:rPr>
                <w:rFonts w:hint="eastAsia"/>
                <w:color w:val="000000"/>
                <w:highlight w:val="none"/>
              </w:rPr>
              <w:t>家时（不含</w:t>
            </w:r>
            <w:r>
              <w:rPr>
                <w:color w:val="000000"/>
                <w:highlight w:val="none"/>
              </w:rPr>
              <w:t>5</w:t>
            </w:r>
            <w:r>
              <w:rPr>
                <w:rFonts w:hint="eastAsia"/>
                <w:color w:val="000000"/>
                <w:highlight w:val="none"/>
              </w:rPr>
              <w:t>家），则以所有有效投标报价的算术平均值作为投标报价。</w:t>
            </w:r>
          </w:p>
          <w:p w14:paraId="3AADB7E4">
            <w:pPr>
              <w:rPr>
                <w:color w:val="000000"/>
                <w:highlight w:val="none"/>
              </w:rPr>
            </w:pPr>
            <w:r>
              <w:rPr>
                <w:rFonts w:hint="eastAsia"/>
                <w:color w:val="000000"/>
                <w:highlight w:val="none"/>
              </w:rPr>
              <w:t>上述最高投标限价、投标报价、有效投标报价在参与评标基准价计算时，均不含</w:t>
            </w:r>
            <w:r>
              <w:rPr>
                <w:color w:val="000000"/>
                <w:highlight w:val="none"/>
              </w:rPr>
              <w:t>:</w:t>
            </w:r>
            <w:r>
              <w:rPr>
                <w:rFonts w:hint="eastAsia"/>
                <w:color w:val="000000"/>
                <w:highlight w:val="none"/>
              </w:rPr>
              <w:t>规费、安全文明施工费、增值税、暂列金额、</w:t>
            </w:r>
            <w:r>
              <w:rPr>
                <w:rFonts w:hint="eastAsia" w:ascii="宋体" w:hAnsi="宋体"/>
                <w:color w:val="000000"/>
                <w:szCs w:val="21"/>
                <w:highlight w:val="none"/>
              </w:rPr>
              <w:t>专业工程暂估价</w:t>
            </w:r>
            <w:r>
              <w:rPr>
                <w:rFonts w:hint="eastAsia"/>
                <w:color w:val="000000"/>
                <w:highlight w:val="none"/>
              </w:rPr>
              <w:t>。</w:t>
            </w:r>
          </w:p>
        </w:tc>
      </w:tr>
      <w:tr w14:paraId="50D1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F464BD4">
            <w:pPr>
              <w:widowControl/>
              <w:jc w:val="left"/>
              <w:rPr>
                <w:rFonts w:ascii="宋体" w:hAnsi="宋体"/>
                <w:color w:val="000000"/>
                <w:szCs w:val="21"/>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714F3FDB">
            <w:pPr>
              <w:spacing w:line="360" w:lineRule="auto"/>
              <w:ind w:firstLine="105" w:firstLineChars="50"/>
              <w:jc w:val="center"/>
              <w:rPr>
                <w:rFonts w:ascii="宋体" w:hAnsi="宋体"/>
                <w:color w:val="000000"/>
                <w:szCs w:val="21"/>
                <w:highlight w:val="none"/>
              </w:rPr>
            </w:pPr>
            <w:r>
              <w:rPr>
                <w:rFonts w:hint="eastAsia" w:ascii="宋体" w:hAnsi="宋体"/>
                <w:color w:val="000000"/>
                <w:szCs w:val="21"/>
                <w:highlight w:val="none"/>
              </w:rPr>
              <w:t>最高投标限价权重</w:t>
            </w:r>
          </w:p>
          <w:p w14:paraId="18AD61D3">
            <w:pPr>
              <w:spacing w:line="360" w:lineRule="auto"/>
              <w:ind w:firstLine="105" w:firstLineChars="50"/>
              <w:jc w:val="center"/>
              <w:rPr>
                <w:rFonts w:ascii="宋体" w:hAnsi="宋体"/>
                <w:color w:val="000000"/>
                <w:szCs w:val="21"/>
                <w:highlight w:val="none"/>
              </w:rPr>
            </w:pPr>
            <w:r>
              <w:rPr>
                <w:rFonts w:hint="eastAsia" w:ascii="宋体" w:hAnsi="宋体"/>
                <w:color w:val="000000"/>
                <w:szCs w:val="21"/>
                <w:highlight w:val="none"/>
              </w:rPr>
              <w:t>系数K的确定</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2C9F71D3">
            <w:pPr>
              <w:pStyle w:val="7"/>
              <w:ind w:firstLine="0" w:firstLineChars="0"/>
              <w:rPr>
                <w:rFonts w:hint="eastAsia"/>
                <w:color w:val="000000"/>
                <w:highlight w:val="none"/>
              </w:rPr>
            </w:pPr>
            <w:r>
              <w:rPr>
                <w:color w:val="000000"/>
                <w:highlight w:val="none"/>
              </w:rPr>
              <w:t>K</w:t>
            </w:r>
            <w:r>
              <w:rPr>
                <w:rFonts w:hint="eastAsia"/>
                <w:color w:val="000000"/>
                <w:highlight w:val="none"/>
              </w:rPr>
              <w:t>为最高投标限价权重系数，取值范围</w:t>
            </w:r>
            <w:r>
              <w:rPr>
                <w:color w:val="000000"/>
                <w:highlight w:val="none"/>
              </w:rPr>
              <w:t>0.3</w:t>
            </w:r>
            <w:r>
              <w:rPr>
                <w:rFonts w:hint="eastAsia"/>
                <w:color w:val="000000"/>
                <w:highlight w:val="none"/>
              </w:rPr>
              <w:t>≤</w:t>
            </w:r>
            <w:r>
              <w:rPr>
                <w:color w:val="000000"/>
                <w:highlight w:val="none"/>
              </w:rPr>
              <w:t>K</w:t>
            </w:r>
            <w:r>
              <w:rPr>
                <w:rFonts w:hint="eastAsia"/>
                <w:color w:val="000000"/>
                <w:highlight w:val="none"/>
              </w:rPr>
              <w:t>≤</w:t>
            </w:r>
            <w:r>
              <w:rPr>
                <w:color w:val="000000"/>
                <w:highlight w:val="none"/>
              </w:rPr>
              <w:t>0.5</w:t>
            </w:r>
            <w:r>
              <w:rPr>
                <w:rFonts w:hint="eastAsia"/>
                <w:color w:val="000000"/>
                <w:highlight w:val="none"/>
              </w:rPr>
              <w:t>。</w:t>
            </w:r>
          </w:p>
          <w:p w14:paraId="6BFF1E00">
            <w:pPr>
              <w:pStyle w:val="7"/>
              <w:ind w:firstLine="0" w:firstLineChars="0"/>
              <w:rPr>
                <w:color w:val="000000"/>
                <w:highlight w:val="none"/>
              </w:rPr>
            </w:pPr>
            <w:r>
              <w:rPr>
                <w:rFonts w:hint="eastAsia"/>
                <w:color w:val="000000"/>
                <w:highlight w:val="none"/>
              </w:rPr>
              <w:t>在全国公共资源交易平台（河南省•平顶山市）电子交易系统随机抽取</w:t>
            </w:r>
          </w:p>
        </w:tc>
      </w:tr>
      <w:tr w14:paraId="5AB4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296" w:type="dxa"/>
            <w:tcBorders>
              <w:top w:val="single" w:color="auto" w:sz="4" w:space="0"/>
              <w:left w:val="single" w:color="auto" w:sz="4" w:space="0"/>
              <w:bottom w:val="single" w:color="auto" w:sz="4" w:space="0"/>
              <w:right w:val="single" w:color="auto" w:sz="4" w:space="0"/>
            </w:tcBorders>
            <w:noWrap w:val="0"/>
            <w:vAlign w:val="center"/>
          </w:tcPr>
          <w:p w14:paraId="17D7B048">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2.2.3</w:t>
            </w:r>
          </w:p>
        </w:tc>
        <w:tc>
          <w:tcPr>
            <w:tcW w:w="2527" w:type="dxa"/>
            <w:tcBorders>
              <w:top w:val="single" w:color="auto" w:sz="4" w:space="0"/>
              <w:left w:val="single" w:color="auto" w:sz="4" w:space="0"/>
              <w:bottom w:val="single" w:color="auto" w:sz="4" w:space="0"/>
              <w:right w:val="single" w:color="auto" w:sz="4" w:space="0"/>
            </w:tcBorders>
            <w:noWrap w:val="0"/>
            <w:vAlign w:val="center"/>
          </w:tcPr>
          <w:p w14:paraId="5C5A509C">
            <w:pPr>
              <w:spacing w:line="360" w:lineRule="auto"/>
              <w:ind w:firstLine="105" w:firstLineChars="50"/>
              <w:jc w:val="center"/>
              <w:rPr>
                <w:color w:val="000000"/>
                <w:highlight w:val="none"/>
              </w:rPr>
            </w:pPr>
            <w:r>
              <w:rPr>
                <w:rFonts w:hint="eastAsia"/>
                <w:color w:val="000000"/>
                <w:highlight w:val="none"/>
              </w:rPr>
              <w:t>投标报价的偏差率</w:t>
            </w:r>
          </w:p>
          <w:p w14:paraId="6E6BFA5A">
            <w:pPr>
              <w:spacing w:line="360" w:lineRule="auto"/>
              <w:ind w:firstLine="105" w:firstLineChars="50"/>
              <w:jc w:val="center"/>
              <w:rPr>
                <w:rFonts w:ascii="宋体" w:hAnsi="宋体"/>
                <w:color w:val="000000"/>
                <w:szCs w:val="21"/>
                <w:highlight w:val="none"/>
              </w:rPr>
            </w:pPr>
            <w:r>
              <w:rPr>
                <w:rFonts w:hint="eastAsia"/>
                <w:color w:val="000000"/>
                <w:highlight w:val="none"/>
              </w:rPr>
              <w:t>计算公式</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6B9F08C3">
            <w:pPr>
              <w:widowControl/>
              <w:spacing w:line="360" w:lineRule="auto"/>
              <w:rPr>
                <w:rFonts w:ascii="宋体" w:hAnsi="宋体"/>
                <w:color w:val="000000"/>
                <w:szCs w:val="21"/>
                <w:highlight w:val="none"/>
              </w:rPr>
            </w:pPr>
            <w:r>
              <w:rPr>
                <w:rFonts w:hint="eastAsia" w:ascii="宋体" w:hAnsi="宋体"/>
                <w:color w:val="000000"/>
                <w:szCs w:val="21"/>
                <w:highlight w:val="none"/>
              </w:rPr>
              <w:t>偏差率=100*（投标人投标报价-评标基准价）/评标基准价</w:t>
            </w:r>
          </w:p>
        </w:tc>
      </w:tr>
      <w:tr w14:paraId="64E7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193824B">
            <w:pPr>
              <w:tabs>
                <w:tab w:val="center" w:pos="4153"/>
                <w:tab w:val="right" w:pos="8306"/>
              </w:tabs>
              <w:snapToGrid w:val="0"/>
              <w:jc w:val="center"/>
              <w:rPr>
                <w:rFonts w:ascii="宋体" w:hAnsi="宋体"/>
                <w:color w:val="000000"/>
                <w:szCs w:val="21"/>
                <w:highlight w:val="none"/>
              </w:rPr>
            </w:pPr>
            <w:r>
              <w:rPr>
                <w:rFonts w:hint="eastAsia" w:ascii="宋体" w:hAnsi="宋体"/>
                <w:color w:val="000000"/>
                <w:szCs w:val="21"/>
                <w:highlight w:val="none"/>
              </w:rPr>
              <w:t>2.2.4</w:t>
            </w:r>
          </w:p>
        </w:tc>
        <w:tc>
          <w:tcPr>
            <w:tcW w:w="2527" w:type="dxa"/>
            <w:tcBorders>
              <w:top w:val="single" w:color="auto" w:sz="4" w:space="0"/>
              <w:left w:val="single" w:color="auto" w:sz="4" w:space="0"/>
              <w:bottom w:val="single" w:color="auto" w:sz="4" w:space="0"/>
              <w:right w:val="single" w:color="auto" w:sz="4" w:space="0"/>
            </w:tcBorders>
            <w:noWrap w:val="0"/>
            <w:vAlign w:val="center"/>
          </w:tcPr>
          <w:p w14:paraId="35BA4A46">
            <w:pPr>
              <w:jc w:val="center"/>
              <w:rPr>
                <w:color w:val="000000"/>
                <w:highlight w:val="none"/>
              </w:rPr>
            </w:pPr>
            <w:r>
              <w:rPr>
                <w:color w:val="000000"/>
                <w:highlight w:val="none"/>
              </w:rPr>
              <w:t>1</w:t>
            </w:r>
            <w:r>
              <w:rPr>
                <w:rFonts w:hint="eastAsia"/>
                <w:color w:val="000000"/>
                <w:highlight w:val="none"/>
              </w:rPr>
              <w:t>、投标报价</w:t>
            </w:r>
          </w:p>
          <w:p w14:paraId="63E2E012">
            <w:pPr>
              <w:jc w:val="center"/>
              <w:rPr>
                <w:color w:val="000000"/>
                <w:highlight w:val="none"/>
              </w:rPr>
            </w:pPr>
            <w:r>
              <w:rPr>
                <w:rFonts w:hint="eastAsia"/>
                <w:color w:val="000000"/>
                <w:highlight w:val="none"/>
              </w:rPr>
              <w:t>（</w:t>
            </w:r>
            <w:r>
              <w:rPr>
                <w:color w:val="000000"/>
                <w:highlight w:val="none"/>
              </w:rPr>
              <w:t>30</w:t>
            </w:r>
            <w:r>
              <w:rPr>
                <w:rFonts w:hint="eastAsia"/>
                <w:color w:val="000000"/>
                <w:highlight w:val="none"/>
              </w:rPr>
              <w:t>分）</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6B76695C">
            <w:pPr>
              <w:rPr>
                <w:color w:val="000000"/>
                <w:highlight w:val="none"/>
              </w:rPr>
            </w:pPr>
            <w:r>
              <w:rPr>
                <w:rFonts w:hint="eastAsia"/>
                <w:color w:val="000000"/>
                <w:highlight w:val="none"/>
              </w:rPr>
              <w:t>当投标报价与评标基准价相等时，得基本分</w:t>
            </w:r>
            <w:r>
              <w:rPr>
                <w:color w:val="000000"/>
                <w:highlight w:val="none"/>
              </w:rPr>
              <w:t>20</w:t>
            </w:r>
            <w:r>
              <w:rPr>
                <w:rFonts w:hint="eastAsia"/>
                <w:color w:val="000000"/>
                <w:highlight w:val="none"/>
              </w:rPr>
              <w:t>分。当投标报价低于评标基准价时，每低</w:t>
            </w:r>
            <w:r>
              <w:rPr>
                <w:color w:val="000000"/>
                <w:highlight w:val="none"/>
              </w:rPr>
              <w:t>1%</w:t>
            </w:r>
            <w:r>
              <w:rPr>
                <w:rFonts w:hint="eastAsia"/>
                <w:color w:val="000000"/>
                <w:highlight w:val="none"/>
              </w:rPr>
              <w:t>范围内在基本分</w:t>
            </w:r>
            <w:r>
              <w:rPr>
                <w:color w:val="000000"/>
                <w:highlight w:val="none"/>
              </w:rPr>
              <w:t>20</w:t>
            </w:r>
            <w:r>
              <w:rPr>
                <w:rFonts w:hint="eastAsia"/>
                <w:color w:val="000000"/>
                <w:highlight w:val="none"/>
              </w:rPr>
              <w:t>分的基础上加</w:t>
            </w:r>
            <w:r>
              <w:rPr>
                <w:color w:val="000000"/>
                <w:highlight w:val="none"/>
              </w:rPr>
              <w:t>2</w:t>
            </w:r>
            <w:r>
              <w:rPr>
                <w:rFonts w:hint="eastAsia"/>
                <w:color w:val="000000"/>
                <w:highlight w:val="none"/>
              </w:rPr>
              <w:t>分，最多加</w:t>
            </w:r>
            <w:r>
              <w:rPr>
                <w:color w:val="000000"/>
                <w:highlight w:val="none"/>
              </w:rPr>
              <w:t>10</w:t>
            </w:r>
            <w:r>
              <w:rPr>
                <w:rFonts w:hint="eastAsia"/>
                <w:color w:val="000000"/>
                <w:highlight w:val="none"/>
              </w:rPr>
              <w:t>分；当投标报价低于评标基准价</w:t>
            </w:r>
            <w:r>
              <w:rPr>
                <w:color w:val="000000"/>
                <w:highlight w:val="none"/>
              </w:rPr>
              <w:t>5%</w:t>
            </w:r>
            <w:r>
              <w:rPr>
                <w:rFonts w:hint="eastAsia"/>
                <w:color w:val="000000"/>
                <w:highlight w:val="none"/>
              </w:rPr>
              <w:t>以上（不含</w:t>
            </w:r>
            <w:r>
              <w:rPr>
                <w:color w:val="000000"/>
                <w:highlight w:val="none"/>
              </w:rPr>
              <w:t>5%</w:t>
            </w:r>
            <w:r>
              <w:rPr>
                <w:rFonts w:hint="eastAsia"/>
                <w:color w:val="000000"/>
                <w:highlight w:val="none"/>
              </w:rPr>
              <w:t>）时，每再低</w:t>
            </w:r>
            <w:r>
              <w:rPr>
                <w:color w:val="000000"/>
                <w:highlight w:val="none"/>
              </w:rPr>
              <w:t>1%</w:t>
            </w:r>
            <w:r>
              <w:rPr>
                <w:rFonts w:hint="eastAsia"/>
                <w:color w:val="000000"/>
                <w:highlight w:val="none"/>
              </w:rPr>
              <w:t>范围内在满分</w:t>
            </w:r>
            <w:r>
              <w:rPr>
                <w:color w:val="000000"/>
                <w:highlight w:val="none"/>
              </w:rPr>
              <w:t>30</w:t>
            </w:r>
            <w:r>
              <w:rPr>
                <w:rFonts w:hint="eastAsia"/>
                <w:color w:val="000000"/>
                <w:highlight w:val="none"/>
              </w:rPr>
              <w:t>分的基础上扣</w:t>
            </w:r>
            <w:r>
              <w:rPr>
                <w:color w:val="000000"/>
                <w:highlight w:val="none"/>
              </w:rPr>
              <w:t>3</w:t>
            </w:r>
            <w:r>
              <w:rPr>
                <w:rFonts w:hint="eastAsia"/>
                <w:color w:val="000000"/>
                <w:highlight w:val="none"/>
              </w:rPr>
              <w:t>分，扣完为止；当投标报价高于评标基准价时，每高</w:t>
            </w:r>
            <w:r>
              <w:rPr>
                <w:color w:val="000000"/>
                <w:highlight w:val="none"/>
              </w:rPr>
              <w:t>1%</w:t>
            </w:r>
            <w:r>
              <w:rPr>
                <w:rFonts w:hint="eastAsia"/>
                <w:color w:val="000000"/>
                <w:highlight w:val="none"/>
              </w:rPr>
              <w:t>范围内在基本分</w:t>
            </w:r>
            <w:r>
              <w:rPr>
                <w:color w:val="000000"/>
                <w:highlight w:val="none"/>
              </w:rPr>
              <w:t>20</w:t>
            </w:r>
            <w:r>
              <w:rPr>
                <w:rFonts w:hint="eastAsia"/>
                <w:color w:val="000000"/>
                <w:highlight w:val="none"/>
              </w:rPr>
              <w:t>分的基础上扣</w:t>
            </w:r>
            <w:r>
              <w:rPr>
                <w:color w:val="000000"/>
                <w:highlight w:val="none"/>
              </w:rPr>
              <w:t>2</w:t>
            </w:r>
            <w:r>
              <w:rPr>
                <w:rFonts w:hint="eastAsia"/>
                <w:color w:val="000000"/>
                <w:highlight w:val="none"/>
              </w:rPr>
              <w:t>分，扣完为止。</w:t>
            </w:r>
          </w:p>
        </w:tc>
      </w:tr>
      <w:tr w14:paraId="755D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F1A879">
            <w:pPr>
              <w:widowControl/>
              <w:jc w:val="left"/>
              <w:rPr>
                <w:rFonts w:ascii="宋体" w:hAnsi="宋体"/>
                <w:color w:val="000000"/>
                <w:szCs w:val="21"/>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3087D645">
            <w:pPr>
              <w:spacing w:line="360" w:lineRule="auto"/>
              <w:ind w:firstLine="105" w:firstLineChars="50"/>
              <w:jc w:val="center"/>
              <w:rPr>
                <w:color w:val="000000"/>
                <w:highlight w:val="none"/>
              </w:rPr>
            </w:pPr>
            <w:r>
              <w:rPr>
                <w:color w:val="000000"/>
                <w:highlight w:val="none"/>
              </w:rPr>
              <w:t>2</w:t>
            </w:r>
            <w:r>
              <w:rPr>
                <w:rFonts w:hint="eastAsia"/>
                <w:color w:val="000000"/>
                <w:highlight w:val="none"/>
              </w:rPr>
              <w:t>、分部分项工程项目清单单价评审（</w:t>
            </w:r>
            <w:r>
              <w:rPr>
                <w:color w:val="000000"/>
                <w:highlight w:val="none"/>
              </w:rPr>
              <w:t>10</w:t>
            </w:r>
            <w:r>
              <w:rPr>
                <w:rFonts w:hint="eastAsia"/>
                <w:color w:val="000000"/>
                <w:highlight w:val="none"/>
              </w:rPr>
              <w:t>分）</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3D2B9351">
            <w:pPr>
              <w:pStyle w:val="7"/>
              <w:ind w:firstLine="0" w:firstLineChars="0"/>
              <w:rPr>
                <w:color w:val="000000"/>
                <w:highlight w:val="none"/>
              </w:rPr>
            </w:pPr>
            <w:r>
              <w:rPr>
                <w:rFonts w:hint="eastAsia"/>
                <w:color w:val="000000"/>
                <w:highlight w:val="none"/>
              </w:rPr>
              <w:t>分部分项工程项目清单单价评审，共计</w:t>
            </w:r>
            <w:r>
              <w:rPr>
                <w:color w:val="000000"/>
                <w:highlight w:val="none"/>
              </w:rPr>
              <w:t>10</w:t>
            </w:r>
            <w:r>
              <w:rPr>
                <w:rFonts w:hint="eastAsia"/>
                <w:color w:val="000000"/>
                <w:highlight w:val="none"/>
              </w:rPr>
              <w:t>分。</w:t>
            </w:r>
          </w:p>
          <w:p w14:paraId="7616AB2A">
            <w:pPr>
              <w:pStyle w:val="7"/>
              <w:ind w:firstLine="0" w:firstLineChars="0"/>
              <w:rPr>
                <w:color w:val="000000"/>
                <w:highlight w:val="none"/>
              </w:rPr>
            </w:pPr>
            <w:r>
              <w:rPr>
                <w:rFonts w:hint="eastAsia"/>
                <w:color w:val="000000"/>
                <w:highlight w:val="none"/>
              </w:rPr>
              <w:t>从最高投标限价中分部分项工程项目权重最大的前</w:t>
            </w:r>
            <w:r>
              <w:rPr>
                <w:color w:val="000000"/>
                <w:highlight w:val="none"/>
              </w:rPr>
              <w:t>10-30</w:t>
            </w:r>
            <w:r>
              <w:rPr>
                <w:rFonts w:hint="eastAsia"/>
                <w:color w:val="000000"/>
                <w:highlight w:val="none"/>
              </w:rPr>
              <w:t>项清单项目中抽取</w:t>
            </w:r>
            <w:r>
              <w:rPr>
                <w:color w:val="000000"/>
                <w:highlight w:val="none"/>
              </w:rPr>
              <w:t>15</w:t>
            </w:r>
            <w:r>
              <w:rPr>
                <w:rFonts w:hint="eastAsia"/>
                <w:color w:val="000000"/>
                <w:highlight w:val="none"/>
              </w:rPr>
              <w:t>项，在剩余的分部分项工程项目清单项目中抽取</w:t>
            </w:r>
            <w:r>
              <w:rPr>
                <w:color w:val="000000"/>
                <w:highlight w:val="none"/>
              </w:rPr>
              <w:t>5</w:t>
            </w:r>
            <w:r>
              <w:rPr>
                <w:rFonts w:hint="eastAsia"/>
                <w:color w:val="000000"/>
                <w:highlight w:val="none"/>
              </w:rPr>
              <w:t>项。</w:t>
            </w:r>
          </w:p>
          <w:p w14:paraId="7663797E">
            <w:pPr>
              <w:pStyle w:val="7"/>
              <w:ind w:firstLine="0" w:firstLineChars="0"/>
              <w:rPr>
                <w:color w:val="000000"/>
                <w:highlight w:val="none"/>
              </w:rPr>
            </w:pPr>
            <w:r>
              <w:rPr>
                <w:rFonts w:hint="eastAsia"/>
                <w:color w:val="000000"/>
                <w:highlight w:val="none"/>
              </w:rPr>
              <w:t>综合单价基准值是以各有效投标报价中（当有效投标人</w:t>
            </w:r>
            <w:r>
              <w:rPr>
                <w:color w:val="000000"/>
                <w:highlight w:val="none"/>
              </w:rPr>
              <w:t>5</w:t>
            </w:r>
            <w:r>
              <w:rPr>
                <w:rFonts w:hint="eastAsia"/>
                <w:color w:val="000000"/>
                <w:highlight w:val="none"/>
              </w:rPr>
              <w:t>名及以上时，去掉</w:t>
            </w:r>
            <w:r>
              <w:rPr>
                <w:color w:val="000000"/>
                <w:highlight w:val="none"/>
              </w:rPr>
              <w:t>1</w:t>
            </w:r>
            <w:r>
              <w:rPr>
                <w:rFonts w:hint="eastAsia"/>
                <w:color w:val="000000"/>
                <w:highlight w:val="none"/>
              </w:rPr>
              <w:t>个最高、</w:t>
            </w:r>
            <w:r>
              <w:rPr>
                <w:color w:val="000000"/>
                <w:highlight w:val="none"/>
              </w:rPr>
              <w:t>1</w:t>
            </w:r>
            <w:r>
              <w:rPr>
                <w:rFonts w:hint="eastAsia"/>
                <w:color w:val="000000"/>
                <w:highlight w:val="none"/>
              </w:rPr>
              <w:t>个最低值）对应抽取清单项目综合单价的算术平均值。</w:t>
            </w:r>
          </w:p>
          <w:p w14:paraId="06396372">
            <w:pPr>
              <w:pStyle w:val="7"/>
              <w:ind w:firstLine="0" w:firstLineChars="0"/>
              <w:rPr>
                <w:color w:val="000000"/>
                <w:highlight w:val="none"/>
              </w:rPr>
            </w:pPr>
            <w:r>
              <w:rPr>
                <w:rFonts w:hint="eastAsia"/>
                <w:color w:val="000000"/>
                <w:highlight w:val="none"/>
              </w:rPr>
              <w:t>投标人报价在综合单价基准值</w:t>
            </w:r>
            <w:r>
              <w:rPr>
                <w:color w:val="000000"/>
                <w:highlight w:val="none"/>
              </w:rPr>
              <w:t>95%</w:t>
            </w:r>
            <w:r>
              <w:rPr>
                <w:rFonts w:hint="eastAsia"/>
                <w:color w:val="000000"/>
                <w:highlight w:val="none"/>
              </w:rPr>
              <w:t>–</w:t>
            </w:r>
            <w:r>
              <w:rPr>
                <w:color w:val="000000"/>
                <w:highlight w:val="none"/>
              </w:rPr>
              <w:t>103%</w:t>
            </w:r>
            <w:r>
              <w:rPr>
                <w:rFonts w:hint="eastAsia"/>
                <w:color w:val="000000"/>
                <w:highlight w:val="none"/>
              </w:rPr>
              <w:t>范围内（不含</w:t>
            </w:r>
            <w:r>
              <w:rPr>
                <w:color w:val="000000"/>
                <w:highlight w:val="none"/>
              </w:rPr>
              <w:t>95%</w:t>
            </w:r>
            <w:r>
              <w:rPr>
                <w:rFonts w:hint="eastAsia"/>
                <w:color w:val="000000"/>
                <w:highlight w:val="none"/>
              </w:rPr>
              <w:t>和</w:t>
            </w:r>
            <w:r>
              <w:rPr>
                <w:color w:val="000000"/>
                <w:highlight w:val="none"/>
              </w:rPr>
              <w:t>103%</w:t>
            </w:r>
            <w:r>
              <w:rPr>
                <w:rFonts w:hint="eastAsia"/>
                <w:color w:val="000000"/>
                <w:highlight w:val="none"/>
              </w:rPr>
              <w:t>）的，每项得</w:t>
            </w:r>
            <w:r>
              <w:rPr>
                <w:color w:val="000000"/>
                <w:highlight w:val="none"/>
              </w:rPr>
              <w:t>0.5</w:t>
            </w:r>
            <w:r>
              <w:rPr>
                <w:rFonts w:hint="eastAsia"/>
                <w:color w:val="000000"/>
                <w:highlight w:val="none"/>
              </w:rPr>
              <w:t>分；在综合单价基准值</w:t>
            </w:r>
            <w:r>
              <w:rPr>
                <w:color w:val="000000"/>
                <w:highlight w:val="none"/>
              </w:rPr>
              <w:t>90%</w:t>
            </w:r>
            <w:r>
              <w:rPr>
                <w:rFonts w:hint="eastAsia"/>
                <w:color w:val="000000"/>
                <w:highlight w:val="none"/>
              </w:rPr>
              <w:t>–</w:t>
            </w:r>
            <w:r>
              <w:rPr>
                <w:color w:val="000000"/>
                <w:highlight w:val="none"/>
              </w:rPr>
              <w:t>95%</w:t>
            </w:r>
            <w:r>
              <w:rPr>
                <w:rFonts w:hint="eastAsia"/>
                <w:color w:val="000000"/>
                <w:highlight w:val="none"/>
              </w:rPr>
              <w:t>范围内（含</w:t>
            </w:r>
            <w:r>
              <w:rPr>
                <w:color w:val="000000"/>
                <w:highlight w:val="none"/>
              </w:rPr>
              <w:t>90%</w:t>
            </w:r>
            <w:r>
              <w:rPr>
                <w:rFonts w:hint="eastAsia"/>
                <w:color w:val="000000"/>
                <w:highlight w:val="none"/>
              </w:rPr>
              <w:t>和</w:t>
            </w:r>
            <w:r>
              <w:rPr>
                <w:color w:val="000000"/>
                <w:highlight w:val="none"/>
              </w:rPr>
              <w:t>95%</w:t>
            </w:r>
            <w:r>
              <w:rPr>
                <w:rFonts w:hint="eastAsia"/>
                <w:color w:val="000000"/>
                <w:highlight w:val="none"/>
              </w:rPr>
              <w:t>）每项得</w:t>
            </w:r>
            <w:r>
              <w:rPr>
                <w:color w:val="000000"/>
                <w:highlight w:val="none"/>
              </w:rPr>
              <w:t>0.25</w:t>
            </w:r>
            <w:r>
              <w:rPr>
                <w:rFonts w:hint="eastAsia"/>
                <w:color w:val="000000"/>
                <w:highlight w:val="none"/>
              </w:rPr>
              <w:t>分。满分共计</w:t>
            </w:r>
            <w:r>
              <w:rPr>
                <w:color w:val="000000"/>
                <w:highlight w:val="none"/>
              </w:rPr>
              <w:t>10</w:t>
            </w:r>
            <w:r>
              <w:rPr>
                <w:rFonts w:hint="eastAsia"/>
                <w:color w:val="000000"/>
                <w:highlight w:val="none"/>
              </w:rPr>
              <w:t>分。超出该范围的不得分。</w:t>
            </w:r>
          </w:p>
        </w:tc>
      </w:tr>
      <w:tr w14:paraId="76F8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8A85DB2">
            <w:pPr>
              <w:widowControl/>
              <w:jc w:val="left"/>
              <w:rPr>
                <w:rFonts w:ascii="宋体" w:hAnsi="宋体"/>
                <w:color w:val="000000"/>
                <w:szCs w:val="21"/>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04BFB097">
            <w:pPr>
              <w:spacing w:line="360" w:lineRule="auto"/>
              <w:ind w:firstLine="105" w:firstLineChars="50"/>
              <w:jc w:val="center"/>
              <w:rPr>
                <w:color w:val="000000"/>
                <w:highlight w:val="none"/>
              </w:rPr>
            </w:pPr>
            <w:r>
              <w:rPr>
                <w:color w:val="000000"/>
                <w:highlight w:val="none"/>
              </w:rPr>
              <w:t>3</w:t>
            </w:r>
            <w:r>
              <w:rPr>
                <w:rFonts w:hint="eastAsia"/>
                <w:color w:val="000000"/>
                <w:highlight w:val="none"/>
              </w:rPr>
              <w:t>、措施项目费的评审</w:t>
            </w:r>
          </w:p>
          <w:p w14:paraId="6E8F0F05">
            <w:pPr>
              <w:spacing w:line="360" w:lineRule="auto"/>
              <w:ind w:firstLine="105" w:firstLineChars="50"/>
              <w:jc w:val="center"/>
              <w:rPr>
                <w:color w:val="000000"/>
                <w:highlight w:val="none"/>
              </w:rPr>
            </w:pPr>
            <w:r>
              <w:rPr>
                <w:rFonts w:hint="eastAsia"/>
                <w:color w:val="000000"/>
                <w:highlight w:val="none"/>
              </w:rPr>
              <w:t>（不含安全文明施工费）</w:t>
            </w:r>
          </w:p>
          <w:p w14:paraId="011694C7">
            <w:pPr>
              <w:pStyle w:val="7"/>
              <w:ind w:firstLine="900" w:firstLineChars="450"/>
              <w:rPr>
                <w:color w:val="000000"/>
                <w:highlight w:val="none"/>
              </w:rPr>
            </w:pPr>
            <w:r>
              <w:rPr>
                <w:rFonts w:hint="eastAsia"/>
                <w:color w:val="000000"/>
                <w:highlight w:val="none"/>
              </w:rPr>
              <w:t>（</w:t>
            </w:r>
            <w:r>
              <w:rPr>
                <w:color w:val="000000"/>
                <w:highlight w:val="none"/>
              </w:rPr>
              <w:t>5</w:t>
            </w:r>
            <w:r>
              <w:rPr>
                <w:rFonts w:hint="eastAsia"/>
                <w:color w:val="000000"/>
                <w:highlight w:val="none"/>
              </w:rPr>
              <w:t>分）</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3B0A55A2">
            <w:pPr>
              <w:pStyle w:val="7"/>
              <w:ind w:firstLine="0" w:firstLineChars="0"/>
              <w:rPr>
                <w:color w:val="000000"/>
                <w:highlight w:val="none"/>
              </w:rPr>
            </w:pPr>
            <w:r>
              <w:rPr>
                <w:rFonts w:hint="eastAsia"/>
                <w:color w:val="000000"/>
                <w:highlight w:val="none"/>
              </w:rPr>
              <w:t>措施项目费基准值是在最高投标限价中措施项目费用</w:t>
            </w:r>
            <w:r>
              <w:rPr>
                <w:color w:val="000000"/>
                <w:highlight w:val="none"/>
              </w:rPr>
              <w:t>80%-110%</w:t>
            </w:r>
            <w:r>
              <w:rPr>
                <w:rFonts w:hint="eastAsia"/>
                <w:color w:val="000000"/>
                <w:highlight w:val="none"/>
              </w:rPr>
              <w:t>范围之间的有效投标人所报措施项目费的算术平均值。投标所报措施费与措施项目基准值相等得基本分</w:t>
            </w:r>
            <w:r>
              <w:rPr>
                <w:color w:val="000000"/>
                <w:highlight w:val="none"/>
              </w:rPr>
              <w:t>3</w:t>
            </w:r>
            <w:r>
              <w:rPr>
                <w:rFonts w:hint="eastAsia"/>
                <w:color w:val="000000"/>
                <w:highlight w:val="none"/>
              </w:rPr>
              <w:t>分。当投标报价低于措施项目基准值时，每低</w:t>
            </w:r>
            <w:r>
              <w:rPr>
                <w:color w:val="000000"/>
                <w:highlight w:val="none"/>
              </w:rPr>
              <w:t>1%</w:t>
            </w:r>
            <w:r>
              <w:rPr>
                <w:rFonts w:hint="eastAsia"/>
                <w:color w:val="000000"/>
                <w:highlight w:val="none"/>
              </w:rPr>
              <w:t>在基本分</w:t>
            </w:r>
            <w:r>
              <w:rPr>
                <w:color w:val="000000"/>
                <w:highlight w:val="none"/>
              </w:rPr>
              <w:t>3</w:t>
            </w:r>
            <w:r>
              <w:rPr>
                <w:rFonts w:hint="eastAsia"/>
                <w:color w:val="000000"/>
                <w:highlight w:val="none"/>
              </w:rPr>
              <w:t>分的基础上加</w:t>
            </w:r>
            <w:r>
              <w:rPr>
                <w:color w:val="000000"/>
                <w:highlight w:val="none"/>
              </w:rPr>
              <w:t>0.1</w:t>
            </w:r>
            <w:r>
              <w:rPr>
                <w:rFonts w:hint="eastAsia"/>
                <w:color w:val="000000"/>
                <w:highlight w:val="none"/>
              </w:rPr>
              <w:t>分，最多加至</w:t>
            </w:r>
            <w:r>
              <w:rPr>
                <w:color w:val="000000"/>
                <w:highlight w:val="none"/>
              </w:rPr>
              <w:t>5</w:t>
            </w:r>
            <w:r>
              <w:rPr>
                <w:rFonts w:hint="eastAsia"/>
                <w:color w:val="000000"/>
                <w:highlight w:val="none"/>
              </w:rPr>
              <w:t>分为止；当高于措施项目基准值时，每高于</w:t>
            </w:r>
            <w:r>
              <w:rPr>
                <w:color w:val="000000"/>
                <w:highlight w:val="none"/>
              </w:rPr>
              <w:t>1%</w:t>
            </w:r>
            <w:r>
              <w:rPr>
                <w:rFonts w:hint="eastAsia"/>
                <w:color w:val="000000"/>
                <w:highlight w:val="none"/>
              </w:rPr>
              <w:t>时，在基本分</w:t>
            </w:r>
            <w:r>
              <w:rPr>
                <w:color w:val="000000"/>
                <w:highlight w:val="none"/>
              </w:rPr>
              <w:t>3</w:t>
            </w:r>
            <w:r>
              <w:rPr>
                <w:rFonts w:hint="eastAsia"/>
                <w:color w:val="000000"/>
                <w:highlight w:val="none"/>
              </w:rPr>
              <w:t>分的基础上扣</w:t>
            </w:r>
            <w:r>
              <w:rPr>
                <w:color w:val="000000"/>
                <w:highlight w:val="none"/>
              </w:rPr>
              <w:t>0.2</w:t>
            </w:r>
            <w:r>
              <w:rPr>
                <w:rFonts w:hint="eastAsia"/>
                <w:color w:val="000000"/>
                <w:highlight w:val="none"/>
              </w:rPr>
              <w:t>分，扣完为止。</w:t>
            </w:r>
          </w:p>
        </w:tc>
      </w:tr>
      <w:tr w14:paraId="4ACD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786A2F9">
            <w:pPr>
              <w:widowControl/>
              <w:jc w:val="left"/>
              <w:rPr>
                <w:rFonts w:ascii="宋体" w:hAnsi="宋体"/>
                <w:color w:val="000000"/>
                <w:szCs w:val="21"/>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7134AC81">
            <w:pPr>
              <w:spacing w:line="360" w:lineRule="auto"/>
              <w:ind w:firstLine="105" w:firstLineChars="50"/>
              <w:jc w:val="center"/>
              <w:rPr>
                <w:color w:val="000000"/>
                <w:highlight w:val="none"/>
              </w:rPr>
            </w:pPr>
            <w:r>
              <w:rPr>
                <w:color w:val="000000"/>
                <w:highlight w:val="none"/>
              </w:rPr>
              <w:t>4</w:t>
            </w:r>
            <w:r>
              <w:rPr>
                <w:rFonts w:hint="eastAsia"/>
                <w:color w:val="000000"/>
                <w:highlight w:val="none"/>
              </w:rPr>
              <w:t>、主要材料单价的评审</w:t>
            </w:r>
          </w:p>
          <w:p w14:paraId="1D569004">
            <w:pPr>
              <w:spacing w:line="360" w:lineRule="auto"/>
              <w:ind w:firstLine="105" w:firstLineChars="50"/>
              <w:jc w:val="center"/>
              <w:rPr>
                <w:color w:val="000000"/>
                <w:highlight w:val="none"/>
              </w:rPr>
            </w:pPr>
            <w:r>
              <w:rPr>
                <w:rFonts w:hint="eastAsia"/>
                <w:color w:val="000000"/>
                <w:highlight w:val="none"/>
              </w:rPr>
              <w:t>（</w:t>
            </w:r>
            <w:r>
              <w:rPr>
                <w:color w:val="000000"/>
                <w:highlight w:val="none"/>
              </w:rPr>
              <w:t>5</w:t>
            </w:r>
            <w:r>
              <w:rPr>
                <w:rFonts w:hint="eastAsia"/>
                <w:color w:val="000000"/>
                <w:highlight w:val="none"/>
              </w:rPr>
              <w:t>分）</w:t>
            </w:r>
          </w:p>
        </w:tc>
        <w:tc>
          <w:tcPr>
            <w:tcW w:w="4597" w:type="dxa"/>
            <w:tcBorders>
              <w:top w:val="single" w:color="auto" w:sz="4" w:space="0"/>
              <w:left w:val="single" w:color="auto" w:sz="4" w:space="0"/>
              <w:bottom w:val="single" w:color="auto" w:sz="4" w:space="0"/>
              <w:right w:val="single" w:color="auto" w:sz="4" w:space="0"/>
            </w:tcBorders>
            <w:noWrap w:val="0"/>
            <w:vAlign w:val="center"/>
          </w:tcPr>
          <w:p w14:paraId="39C1E5C9">
            <w:pPr>
              <w:pStyle w:val="7"/>
              <w:ind w:firstLine="0" w:firstLineChars="0"/>
              <w:rPr>
                <w:color w:val="000000"/>
                <w:highlight w:val="none"/>
              </w:rPr>
            </w:pPr>
            <w:r>
              <w:rPr>
                <w:rFonts w:hint="eastAsia"/>
                <w:color w:val="000000"/>
                <w:highlight w:val="none"/>
              </w:rPr>
              <w:t>从最高投标限价中材料总价权重最大的前</w:t>
            </w:r>
            <w:r>
              <w:rPr>
                <w:color w:val="000000"/>
                <w:highlight w:val="none"/>
              </w:rPr>
              <w:t>10-20</w:t>
            </w:r>
            <w:r>
              <w:rPr>
                <w:rFonts w:hint="eastAsia"/>
                <w:color w:val="000000"/>
                <w:highlight w:val="none"/>
              </w:rPr>
              <w:t>项材料中抽取</w:t>
            </w:r>
            <w:r>
              <w:rPr>
                <w:color w:val="000000"/>
                <w:highlight w:val="none"/>
              </w:rPr>
              <w:t>6</w:t>
            </w:r>
            <w:r>
              <w:rPr>
                <w:rFonts w:hint="eastAsia"/>
                <w:color w:val="000000"/>
                <w:highlight w:val="none"/>
              </w:rPr>
              <w:t>项，在剩余材料中抽取</w:t>
            </w:r>
            <w:r>
              <w:rPr>
                <w:color w:val="000000"/>
                <w:highlight w:val="none"/>
              </w:rPr>
              <w:t>4</w:t>
            </w:r>
            <w:r>
              <w:rPr>
                <w:rFonts w:hint="eastAsia"/>
                <w:color w:val="000000"/>
                <w:highlight w:val="none"/>
              </w:rPr>
              <w:t>项。</w:t>
            </w:r>
          </w:p>
          <w:p w14:paraId="0DD92243">
            <w:pPr>
              <w:pStyle w:val="7"/>
              <w:ind w:firstLine="0" w:firstLineChars="0"/>
              <w:rPr>
                <w:color w:val="000000"/>
                <w:highlight w:val="none"/>
              </w:rPr>
            </w:pPr>
            <w:r>
              <w:rPr>
                <w:rFonts w:hint="eastAsia"/>
                <w:color w:val="000000"/>
                <w:highlight w:val="none"/>
              </w:rPr>
              <w:t>主要材料单价基准值是以各有效投标报价中（当有效投标人</w:t>
            </w:r>
            <w:r>
              <w:rPr>
                <w:color w:val="000000"/>
                <w:highlight w:val="none"/>
              </w:rPr>
              <w:t>5</w:t>
            </w:r>
            <w:r>
              <w:rPr>
                <w:rFonts w:hint="eastAsia"/>
                <w:color w:val="000000"/>
                <w:highlight w:val="none"/>
              </w:rPr>
              <w:t>名及以上时，去掉</w:t>
            </w:r>
            <w:r>
              <w:rPr>
                <w:color w:val="000000"/>
                <w:highlight w:val="none"/>
              </w:rPr>
              <w:t>1</w:t>
            </w:r>
            <w:r>
              <w:rPr>
                <w:rFonts w:hint="eastAsia"/>
                <w:color w:val="000000"/>
                <w:highlight w:val="none"/>
              </w:rPr>
              <w:t>个最高、</w:t>
            </w:r>
            <w:r>
              <w:rPr>
                <w:color w:val="000000"/>
                <w:highlight w:val="none"/>
              </w:rPr>
              <w:t>1</w:t>
            </w:r>
            <w:r>
              <w:rPr>
                <w:rFonts w:hint="eastAsia"/>
                <w:color w:val="000000"/>
                <w:highlight w:val="none"/>
              </w:rPr>
              <w:t>个最低值）对应抽取材料单价的算术平均值。</w:t>
            </w:r>
          </w:p>
          <w:p w14:paraId="7E0D7362">
            <w:pPr>
              <w:pStyle w:val="7"/>
              <w:ind w:firstLine="0" w:firstLineChars="0"/>
              <w:rPr>
                <w:color w:val="000000"/>
                <w:highlight w:val="none"/>
              </w:rPr>
            </w:pPr>
            <w:r>
              <w:rPr>
                <w:rFonts w:hint="eastAsia"/>
                <w:color w:val="000000"/>
                <w:highlight w:val="none"/>
              </w:rPr>
              <w:t>当投标人报价在材料单价基准值</w:t>
            </w:r>
            <w:r>
              <w:rPr>
                <w:color w:val="000000"/>
                <w:highlight w:val="none"/>
              </w:rPr>
              <w:t>95%</w:t>
            </w:r>
            <w:r>
              <w:rPr>
                <w:rFonts w:hint="eastAsia"/>
                <w:color w:val="000000"/>
                <w:highlight w:val="none"/>
              </w:rPr>
              <w:t>–</w:t>
            </w:r>
            <w:r>
              <w:rPr>
                <w:color w:val="000000"/>
                <w:highlight w:val="none"/>
              </w:rPr>
              <w:t>103%</w:t>
            </w:r>
            <w:r>
              <w:rPr>
                <w:rFonts w:hint="eastAsia"/>
                <w:color w:val="000000"/>
                <w:highlight w:val="none"/>
              </w:rPr>
              <w:t>范围内（不含</w:t>
            </w:r>
            <w:r>
              <w:rPr>
                <w:color w:val="000000"/>
                <w:highlight w:val="none"/>
              </w:rPr>
              <w:t>95%</w:t>
            </w:r>
            <w:r>
              <w:rPr>
                <w:rFonts w:hint="eastAsia"/>
                <w:color w:val="000000"/>
                <w:highlight w:val="none"/>
              </w:rPr>
              <w:t>和</w:t>
            </w:r>
            <w:r>
              <w:rPr>
                <w:color w:val="000000"/>
                <w:highlight w:val="none"/>
              </w:rPr>
              <w:t>103%</w:t>
            </w:r>
            <w:r>
              <w:rPr>
                <w:rFonts w:hint="eastAsia"/>
                <w:color w:val="000000"/>
                <w:highlight w:val="none"/>
              </w:rPr>
              <w:t>）每项得</w:t>
            </w:r>
            <w:r>
              <w:rPr>
                <w:color w:val="000000"/>
                <w:highlight w:val="none"/>
              </w:rPr>
              <w:t>0.5</w:t>
            </w:r>
            <w:r>
              <w:rPr>
                <w:rFonts w:hint="eastAsia"/>
                <w:color w:val="000000"/>
                <w:highlight w:val="none"/>
              </w:rPr>
              <w:t>分，在材料单价基准值</w:t>
            </w:r>
            <w:r>
              <w:rPr>
                <w:color w:val="000000"/>
                <w:highlight w:val="none"/>
              </w:rPr>
              <w:t>90%</w:t>
            </w:r>
            <w:r>
              <w:rPr>
                <w:rFonts w:hint="eastAsia"/>
                <w:color w:val="000000"/>
                <w:highlight w:val="none"/>
              </w:rPr>
              <w:t>–</w:t>
            </w:r>
            <w:r>
              <w:rPr>
                <w:color w:val="000000"/>
                <w:highlight w:val="none"/>
              </w:rPr>
              <w:t>95%</w:t>
            </w:r>
            <w:r>
              <w:rPr>
                <w:rFonts w:hint="eastAsia"/>
                <w:color w:val="000000"/>
                <w:highlight w:val="none"/>
              </w:rPr>
              <w:t>范围内（含</w:t>
            </w:r>
            <w:r>
              <w:rPr>
                <w:color w:val="000000"/>
                <w:highlight w:val="none"/>
              </w:rPr>
              <w:t>90%</w:t>
            </w:r>
            <w:r>
              <w:rPr>
                <w:rFonts w:hint="eastAsia"/>
                <w:color w:val="000000"/>
                <w:highlight w:val="none"/>
              </w:rPr>
              <w:t>和</w:t>
            </w:r>
            <w:r>
              <w:rPr>
                <w:color w:val="000000"/>
                <w:highlight w:val="none"/>
              </w:rPr>
              <w:t>95%</w:t>
            </w:r>
            <w:r>
              <w:rPr>
                <w:rFonts w:hint="eastAsia"/>
                <w:color w:val="000000"/>
                <w:highlight w:val="none"/>
              </w:rPr>
              <w:t>）每项得</w:t>
            </w:r>
            <w:r>
              <w:rPr>
                <w:color w:val="000000"/>
                <w:highlight w:val="none"/>
              </w:rPr>
              <w:t>0.25</w:t>
            </w:r>
            <w:r>
              <w:rPr>
                <w:rFonts w:hint="eastAsia"/>
                <w:color w:val="000000"/>
                <w:highlight w:val="none"/>
              </w:rPr>
              <w:t>分。超出该范围的不得分。材料单价与综合单价组成中价格不一致时该项为</w:t>
            </w:r>
            <w:r>
              <w:rPr>
                <w:color w:val="000000"/>
                <w:highlight w:val="none"/>
              </w:rPr>
              <w:t>0</w:t>
            </w:r>
            <w:r>
              <w:rPr>
                <w:rFonts w:hint="eastAsia"/>
                <w:color w:val="000000"/>
                <w:highlight w:val="none"/>
              </w:rPr>
              <w:t>分。</w:t>
            </w:r>
          </w:p>
        </w:tc>
      </w:tr>
      <w:tr w14:paraId="0283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793AFE">
            <w:pPr>
              <w:widowControl/>
              <w:jc w:val="left"/>
              <w:rPr>
                <w:rFonts w:ascii="宋体" w:hAnsi="宋体"/>
                <w:color w:val="000000"/>
                <w:szCs w:val="21"/>
                <w:highlight w:val="none"/>
              </w:rPr>
            </w:pPr>
          </w:p>
        </w:tc>
        <w:tc>
          <w:tcPr>
            <w:tcW w:w="7124" w:type="dxa"/>
            <w:gridSpan w:val="2"/>
            <w:tcBorders>
              <w:top w:val="single" w:color="auto" w:sz="4" w:space="0"/>
              <w:left w:val="single" w:color="auto" w:sz="4" w:space="0"/>
              <w:bottom w:val="single" w:color="auto" w:sz="4" w:space="0"/>
              <w:right w:val="single" w:color="auto" w:sz="4" w:space="0"/>
            </w:tcBorders>
            <w:noWrap w:val="0"/>
            <w:vAlign w:val="center"/>
          </w:tcPr>
          <w:p w14:paraId="6DD8C72F">
            <w:pPr>
              <w:pStyle w:val="7"/>
              <w:ind w:firstLine="0" w:firstLineChars="0"/>
              <w:rPr>
                <w:color w:val="000000"/>
                <w:highlight w:val="none"/>
              </w:rPr>
            </w:pPr>
            <w:r>
              <w:rPr>
                <w:rFonts w:hint="eastAsia"/>
                <w:color w:val="000000"/>
                <w:highlight w:val="none"/>
              </w:rPr>
              <w:t>注：</w:t>
            </w:r>
            <w:r>
              <w:rPr>
                <w:color w:val="000000"/>
                <w:highlight w:val="none"/>
              </w:rPr>
              <w:t>1</w:t>
            </w:r>
            <w:r>
              <w:rPr>
                <w:rFonts w:hint="eastAsia"/>
                <w:color w:val="000000"/>
                <w:highlight w:val="none"/>
              </w:rPr>
              <w:t>、针对上述</w:t>
            </w:r>
            <w:r>
              <w:rPr>
                <w:color w:val="000000"/>
                <w:highlight w:val="none"/>
              </w:rPr>
              <w:t>2</w:t>
            </w:r>
            <w:r>
              <w:rPr>
                <w:rFonts w:hint="eastAsia"/>
                <w:color w:val="000000"/>
                <w:highlight w:val="none"/>
              </w:rPr>
              <w:t>、</w:t>
            </w:r>
            <w:r>
              <w:rPr>
                <w:color w:val="000000"/>
                <w:highlight w:val="none"/>
              </w:rPr>
              <w:t>4</w:t>
            </w:r>
            <w:r>
              <w:rPr>
                <w:rFonts w:hint="eastAsia"/>
                <w:color w:val="000000"/>
                <w:highlight w:val="none"/>
              </w:rPr>
              <w:t>款项中部分分部分项工程项目数量较少、施工工艺简单、主材种类较少而不能满足最低抽项要求的，应将所有分部分项工程项目或主要材料项目纳入评审范围。</w:t>
            </w:r>
          </w:p>
        </w:tc>
      </w:tr>
    </w:tbl>
    <w:p w14:paraId="26E8598A">
      <w:pPr>
        <w:jc w:val="center"/>
        <w:rPr>
          <w:rFonts w:hint="eastAsia"/>
          <w:b/>
          <w:color w:val="000000"/>
          <w:sz w:val="28"/>
          <w:szCs w:val="28"/>
          <w:highlight w:val="none"/>
        </w:rPr>
      </w:pPr>
      <w:r>
        <w:rPr>
          <w:rFonts w:hint="eastAsia"/>
          <w:b/>
          <w:color w:val="000000"/>
          <w:sz w:val="28"/>
          <w:szCs w:val="28"/>
          <w:highlight w:val="none"/>
        </w:rPr>
        <w:t>技术标评标办法</w:t>
      </w:r>
    </w:p>
    <w:tbl>
      <w:tblPr>
        <w:tblStyle w:val="8"/>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34"/>
        <w:gridCol w:w="992"/>
        <w:gridCol w:w="5775"/>
        <w:gridCol w:w="827"/>
      </w:tblGrid>
      <w:tr w14:paraId="3EA6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14:paraId="0047C9D9">
            <w:pPr>
              <w:jc w:val="center"/>
              <w:rPr>
                <w:color w:val="000000"/>
                <w:szCs w:val="21"/>
                <w:highlight w:val="none"/>
              </w:rPr>
            </w:pPr>
            <w:r>
              <w:rPr>
                <w:rFonts w:hint="eastAsia"/>
                <w:color w:val="000000"/>
                <w:szCs w:val="21"/>
                <w:highlight w:val="none"/>
              </w:rPr>
              <w:t>序号</w:t>
            </w:r>
          </w:p>
        </w:tc>
        <w:tc>
          <w:tcPr>
            <w:tcW w:w="1134" w:type="dxa"/>
            <w:noWrap w:val="0"/>
            <w:vAlign w:val="center"/>
          </w:tcPr>
          <w:p w14:paraId="1AA43EA1">
            <w:pPr>
              <w:jc w:val="center"/>
              <w:rPr>
                <w:color w:val="000000"/>
                <w:szCs w:val="21"/>
                <w:highlight w:val="none"/>
              </w:rPr>
            </w:pPr>
            <w:r>
              <w:rPr>
                <w:rFonts w:hint="eastAsia"/>
                <w:color w:val="000000"/>
                <w:szCs w:val="21"/>
                <w:highlight w:val="none"/>
              </w:rPr>
              <w:t>内容</w:t>
            </w:r>
          </w:p>
        </w:tc>
        <w:tc>
          <w:tcPr>
            <w:tcW w:w="992" w:type="dxa"/>
            <w:noWrap w:val="0"/>
            <w:vAlign w:val="center"/>
          </w:tcPr>
          <w:p w14:paraId="4844B23D">
            <w:pPr>
              <w:jc w:val="center"/>
              <w:rPr>
                <w:color w:val="000000"/>
                <w:szCs w:val="21"/>
                <w:highlight w:val="none"/>
              </w:rPr>
            </w:pPr>
            <w:r>
              <w:rPr>
                <w:rFonts w:hint="eastAsia"/>
                <w:color w:val="000000"/>
                <w:szCs w:val="21"/>
                <w:highlight w:val="none"/>
              </w:rPr>
              <w:t>分值</w:t>
            </w:r>
          </w:p>
        </w:tc>
        <w:tc>
          <w:tcPr>
            <w:tcW w:w="5775" w:type="dxa"/>
            <w:noWrap w:val="0"/>
            <w:vAlign w:val="center"/>
          </w:tcPr>
          <w:p w14:paraId="0765F5D5">
            <w:pPr>
              <w:jc w:val="center"/>
              <w:rPr>
                <w:color w:val="000000"/>
                <w:szCs w:val="21"/>
                <w:highlight w:val="none"/>
              </w:rPr>
            </w:pPr>
            <w:r>
              <w:rPr>
                <w:rFonts w:hint="eastAsia"/>
                <w:color w:val="000000"/>
                <w:szCs w:val="21"/>
                <w:highlight w:val="none"/>
              </w:rPr>
              <w:t>评审标准</w:t>
            </w:r>
          </w:p>
        </w:tc>
        <w:tc>
          <w:tcPr>
            <w:tcW w:w="827" w:type="dxa"/>
            <w:noWrap w:val="0"/>
            <w:vAlign w:val="center"/>
          </w:tcPr>
          <w:p w14:paraId="02D50A8E">
            <w:pPr>
              <w:jc w:val="center"/>
              <w:rPr>
                <w:color w:val="000000"/>
                <w:szCs w:val="21"/>
                <w:highlight w:val="none"/>
              </w:rPr>
            </w:pPr>
            <w:r>
              <w:rPr>
                <w:rFonts w:hint="eastAsia"/>
                <w:color w:val="000000"/>
                <w:szCs w:val="21"/>
                <w:highlight w:val="none"/>
              </w:rPr>
              <w:t>评审得分</w:t>
            </w:r>
          </w:p>
        </w:tc>
      </w:tr>
      <w:tr w14:paraId="6F8A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3F036F90">
            <w:pPr>
              <w:jc w:val="center"/>
              <w:rPr>
                <w:color w:val="000000"/>
                <w:szCs w:val="21"/>
                <w:highlight w:val="none"/>
              </w:rPr>
            </w:pPr>
            <w:r>
              <w:rPr>
                <w:color w:val="000000"/>
                <w:szCs w:val="21"/>
                <w:highlight w:val="none"/>
              </w:rPr>
              <w:t>1</w:t>
            </w:r>
          </w:p>
        </w:tc>
        <w:tc>
          <w:tcPr>
            <w:tcW w:w="1134" w:type="dxa"/>
            <w:vMerge w:val="restart"/>
            <w:noWrap w:val="0"/>
            <w:vAlign w:val="center"/>
          </w:tcPr>
          <w:p w14:paraId="6D7B4B16">
            <w:pPr>
              <w:jc w:val="center"/>
              <w:rPr>
                <w:color w:val="000000"/>
                <w:szCs w:val="21"/>
                <w:highlight w:val="none"/>
              </w:rPr>
            </w:pPr>
            <w:r>
              <w:rPr>
                <w:rFonts w:hint="eastAsia"/>
                <w:color w:val="000000"/>
                <w:szCs w:val="21"/>
                <w:highlight w:val="none"/>
              </w:rPr>
              <w:t>内容完整性</w:t>
            </w:r>
          </w:p>
        </w:tc>
        <w:tc>
          <w:tcPr>
            <w:tcW w:w="992" w:type="dxa"/>
            <w:vMerge w:val="restart"/>
            <w:noWrap w:val="0"/>
            <w:vAlign w:val="center"/>
          </w:tcPr>
          <w:p w14:paraId="2E9D37F5">
            <w:pPr>
              <w:jc w:val="center"/>
              <w:rPr>
                <w:color w:val="000000"/>
                <w:szCs w:val="21"/>
                <w:highlight w:val="none"/>
              </w:rPr>
            </w:pPr>
            <w:r>
              <w:rPr>
                <w:color w:val="000000"/>
                <w:szCs w:val="21"/>
                <w:highlight w:val="none"/>
              </w:rPr>
              <w:t>0-0.5</w:t>
            </w:r>
            <w:r>
              <w:rPr>
                <w:rFonts w:hint="eastAsia"/>
                <w:color w:val="000000"/>
                <w:szCs w:val="21"/>
                <w:highlight w:val="none"/>
              </w:rPr>
              <w:t>分</w:t>
            </w:r>
          </w:p>
        </w:tc>
        <w:tc>
          <w:tcPr>
            <w:tcW w:w="5775" w:type="dxa"/>
            <w:noWrap w:val="0"/>
            <w:vAlign w:val="center"/>
          </w:tcPr>
          <w:p w14:paraId="405EB93A">
            <w:pPr>
              <w:jc w:val="center"/>
              <w:rPr>
                <w:color w:val="000000"/>
                <w:szCs w:val="21"/>
                <w:highlight w:val="none"/>
              </w:rPr>
            </w:pPr>
            <w:r>
              <w:rPr>
                <w:rFonts w:hint="eastAsia"/>
                <w:color w:val="000000"/>
                <w:szCs w:val="21"/>
                <w:highlight w:val="none"/>
              </w:rPr>
              <w:t>技术标的主要内容具有完整性，符合招标文件的要求。</w:t>
            </w:r>
          </w:p>
        </w:tc>
        <w:tc>
          <w:tcPr>
            <w:tcW w:w="827" w:type="dxa"/>
            <w:noWrap w:val="0"/>
            <w:vAlign w:val="center"/>
          </w:tcPr>
          <w:p w14:paraId="35B88E74">
            <w:pPr>
              <w:jc w:val="center"/>
              <w:rPr>
                <w:color w:val="000000"/>
                <w:szCs w:val="21"/>
                <w:highlight w:val="none"/>
              </w:rPr>
            </w:pPr>
            <w:r>
              <w:rPr>
                <w:color w:val="000000"/>
                <w:szCs w:val="21"/>
                <w:highlight w:val="none"/>
              </w:rPr>
              <w:t>0.5</w:t>
            </w:r>
          </w:p>
        </w:tc>
      </w:tr>
      <w:tr w14:paraId="451A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2329B14E">
            <w:pPr>
              <w:jc w:val="left"/>
              <w:rPr>
                <w:color w:val="000000"/>
                <w:szCs w:val="21"/>
                <w:highlight w:val="none"/>
              </w:rPr>
            </w:pPr>
          </w:p>
        </w:tc>
        <w:tc>
          <w:tcPr>
            <w:tcW w:w="1134" w:type="dxa"/>
            <w:vMerge w:val="continue"/>
            <w:noWrap w:val="0"/>
            <w:vAlign w:val="center"/>
          </w:tcPr>
          <w:p w14:paraId="5A80B2CE">
            <w:pPr>
              <w:jc w:val="left"/>
              <w:rPr>
                <w:color w:val="000000"/>
                <w:szCs w:val="21"/>
                <w:highlight w:val="none"/>
              </w:rPr>
            </w:pPr>
          </w:p>
        </w:tc>
        <w:tc>
          <w:tcPr>
            <w:tcW w:w="992" w:type="dxa"/>
            <w:vMerge w:val="continue"/>
            <w:noWrap w:val="0"/>
            <w:vAlign w:val="center"/>
          </w:tcPr>
          <w:p w14:paraId="1F0517B0">
            <w:pPr>
              <w:jc w:val="left"/>
              <w:rPr>
                <w:color w:val="000000"/>
                <w:szCs w:val="21"/>
                <w:highlight w:val="none"/>
              </w:rPr>
            </w:pPr>
          </w:p>
        </w:tc>
        <w:tc>
          <w:tcPr>
            <w:tcW w:w="5775" w:type="dxa"/>
            <w:noWrap w:val="0"/>
            <w:vAlign w:val="center"/>
          </w:tcPr>
          <w:p w14:paraId="6C404523">
            <w:pPr>
              <w:jc w:val="center"/>
              <w:rPr>
                <w:color w:val="000000"/>
                <w:szCs w:val="21"/>
                <w:highlight w:val="none"/>
              </w:rPr>
            </w:pPr>
            <w:r>
              <w:rPr>
                <w:rFonts w:hint="eastAsia"/>
                <w:color w:val="000000"/>
                <w:szCs w:val="21"/>
                <w:highlight w:val="none"/>
              </w:rPr>
              <w:t>技术标不符合招标文件要求。</w:t>
            </w:r>
          </w:p>
        </w:tc>
        <w:tc>
          <w:tcPr>
            <w:tcW w:w="827" w:type="dxa"/>
            <w:noWrap w:val="0"/>
            <w:vAlign w:val="center"/>
          </w:tcPr>
          <w:p w14:paraId="0E08AA95">
            <w:pPr>
              <w:jc w:val="center"/>
              <w:rPr>
                <w:color w:val="000000"/>
                <w:szCs w:val="21"/>
                <w:highlight w:val="none"/>
              </w:rPr>
            </w:pPr>
            <w:r>
              <w:rPr>
                <w:color w:val="000000"/>
                <w:szCs w:val="21"/>
                <w:highlight w:val="none"/>
              </w:rPr>
              <w:t>0</w:t>
            </w:r>
          </w:p>
        </w:tc>
      </w:tr>
      <w:tr w14:paraId="2EB4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593E3353">
            <w:pPr>
              <w:jc w:val="center"/>
              <w:rPr>
                <w:color w:val="000000"/>
                <w:szCs w:val="21"/>
                <w:highlight w:val="none"/>
              </w:rPr>
            </w:pPr>
            <w:r>
              <w:rPr>
                <w:color w:val="000000"/>
                <w:szCs w:val="21"/>
                <w:highlight w:val="none"/>
              </w:rPr>
              <w:t>2</w:t>
            </w:r>
          </w:p>
        </w:tc>
        <w:tc>
          <w:tcPr>
            <w:tcW w:w="1134" w:type="dxa"/>
            <w:vMerge w:val="restart"/>
            <w:noWrap w:val="0"/>
            <w:vAlign w:val="center"/>
          </w:tcPr>
          <w:p w14:paraId="5A594406">
            <w:pPr>
              <w:jc w:val="left"/>
              <w:rPr>
                <w:color w:val="000000"/>
                <w:szCs w:val="21"/>
                <w:highlight w:val="none"/>
              </w:rPr>
            </w:pPr>
            <w:r>
              <w:rPr>
                <w:rFonts w:hint="eastAsia"/>
                <w:color w:val="000000"/>
                <w:szCs w:val="21"/>
                <w:highlight w:val="none"/>
              </w:rPr>
              <w:t>主要施工方案与技术措施</w:t>
            </w:r>
          </w:p>
        </w:tc>
        <w:tc>
          <w:tcPr>
            <w:tcW w:w="992" w:type="dxa"/>
            <w:vMerge w:val="restart"/>
            <w:noWrap w:val="0"/>
            <w:vAlign w:val="center"/>
          </w:tcPr>
          <w:p w14:paraId="52CA20D7">
            <w:pPr>
              <w:jc w:val="center"/>
              <w:rPr>
                <w:color w:val="000000"/>
                <w:szCs w:val="21"/>
                <w:highlight w:val="none"/>
              </w:rPr>
            </w:pPr>
            <w:r>
              <w:rPr>
                <w:color w:val="000000"/>
                <w:szCs w:val="21"/>
                <w:highlight w:val="none"/>
              </w:rPr>
              <w:t xml:space="preserve"> 1-3</w:t>
            </w:r>
            <w:r>
              <w:rPr>
                <w:rFonts w:hint="eastAsia"/>
                <w:color w:val="000000"/>
                <w:szCs w:val="21"/>
                <w:highlight w:val="none"/>
              </w:rPr>
              <w:t>分</w:t>
            </w:r>
          </w:p>
        </w:tc>
        <w:tc>
          <w:tcPr>
            <w:tcW w:w="5775" w:type="dxa"/>
            <w:noWrap w:val="0"/>
            <w:vAlign w:val="center"/>
          </w:tcPr>
          <w:p w14:paraId="234E41E3">
            <w:pPr>
              <w:rPr>
                <w:color w:val="000000"/>
                <w:szCs w:val="21"/>
                <w:highlight w:val="none"/>
              </w:rPr>
            </w:pPr>
            <w:r>
              <w:rPr>
                <w:rFonts w:hint="eastAsia"/>
                <w:color w:val="000000"/>
                <w:szCs w:val="21"/>
                <w:highlight w:val="none"/>
              </w:rPr>
              <w:t>施工方案（含工程特点、施工重点与难点及绿色施工）总体安排合理，运用先进、合理的施工工艺、施工机械；对施工难点有先进和合理的建议。</w:t>
            </w:r>
          </w:p>
        </w:tc>
        <w:tc>
          <w:tcPr>
            <w:tcW w:w="827" w:type="dxa"/>
            <w:noWrap w:val="0"/>
            <w:vAlign w:val="center"/>
          </w:tcPr>
          <w:p w14:paraId="342535D4">
            <w:pPr>
              <w:jc w:val="center"/>
              <w:rPr>
                <w:color w:val="000000"/>
                <w:szCs w:val="21"/>
                <w:highlight w:val="none"/>
              </w:rPr>
            </w:pPr>
            <w:r>
              <w:rPr>
                <w:color w:val="000000"/>
                <w:szCs w:val="21"/>
                <w:highlight w:val="none"/>
              </w:rPr>
              <w:t>2</w:t>
            </w:r>
            <w:r>
              <w:rPr>
                <w:rFonts w:hint="eastAsia"/>
                <w:color w:val="000000"/>
                <w:szCs w:val="21"/>
                <w:highlight w:val="none"/>
              </w:rPr>
              <w:t>＜得分</w:t>
            </w:r>
            <w:r>
              <w:rPr>
                <w:color w:val="000000"/>
                <w:szCs w:val="21"/>
                <w:highlight w:val="none"/>
              </w:rPr>
              <w:t>≤3</w:t>
            </w:r>
          </w:p>
        </w:tc>
      </w:tr>
      <w:tr w14:paraId="6231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27E2BE43">
            <w:pPr>
              <w:jc w:val="left"/>
              <w:rPr>
                <w:color w:val="000000"/>
                <w:szCs w:val="21"/>
                <w:highlight w:val="none"/>
              </w:rPr>
            </w:pPr>
          </w:p>
        </w:tc>
        <w:tc>
          <w:tcPr>
            <w:tcW w:w="1134" w:type="dxa"/>
            <w:vMerge w:val="continue"/>
            <w:noWrap w:val="0"/>
            <w:vAlign w:val="center"/>
          </w:tcPr>
          <w:p w14:paraId="7EAE8393">
            <w:pPr>
              <w:jc w:val="left"/>
              <w:rPr>
                <w:color w:val="000000"/>
                <w:szCs w:val="21"/>
                <w:highlight w:val="none"/>
              </w:rPr>
            </w:pPr>
          </w:p>
        </w:tc>
        <w:tc>
          <w:tcPr>
            <w:tcW w:w="992" w:type="dxa"/>
            <w:vMerge w:val="continue"/>
            <w:noWrap w:val="0"/>
            <w:vAlign w:val="center"/>
          </w:tcPr>
          <w:p w14:paraId="61EB95F2">
            <w:pPr>
              <w:jc w:val="left"/>
              <w:rPr>
                <w:color w:val="000000"/>
                <w:szCs w:val="21"/>
                <w:highlight w:val="none"/>
              </w:rPr>
            </w:pPr>
          </w:p>
        </w:tc>
        <w:tc>
          <w:tcPr>
            <w:tcW w:w="5775" w:type="dxa"/>
            <w:noWrap w:val="0"/>
            <w:vAlign w:val="center"/>
          </w:tcPr>
          <w:p w14:paraId="0BCE2210">
            <w:pPr>
              <w:rPr>
                <w:color w:val="000000"/>
                <w:szCs w:val="21"/>
                <w:highlight w:val="none"/>
              </w:rPr>
            </w:pPr>
            <w:r>
              <w:rPr>
                <w:rFonts w:hint="eastAsia"/>
                <w:color w:val="000000"/>
                <w:szCs w:val="21"/>
                <w:highlight w:val="none"/>
              </w:rPr>
              <w:t>施工方案（含工程特点、施工重点与难点及绿色施工）总体安排合理，施工工艺、施工机械合理、可行；对施工难点有合理的建议。</w:t>
            </w:r>
          </w:p>
        </w:tc>
        <w:tc>
          <w:tcPr>
            <w:tcW w:w="827" w:type="dxa"/>
            <w:noWrap w:val="0"/>
            <w:vAlign w:val="center"/>
          </w:tcPr>
          <w:p w14:paraId="6471D35F">
            <w:pPr>
              <w:jc w:val="center"/>
              <w:rPr>
                <w:color w:val="000000"/>
                <w:szCs w:val="21"/>
                <w:highlight w:val="none"/>
              </w:rPr>
            </w:pPr>
            <w:r>
              <w:rPr>
                <w:color w:val="000000"/>
                <w:szCs w:val="21"/>
                <w:highlight w:val="none"/>
              </w:rPr>
              <w:t xml:space="preserve"> 1≤</w:t>
            </w:r>
            <w:r>
              <w:rPr>
                <w:rFonts w:hint="eastAsia"/>
                <w:color w:val="000000"/>
                <w:szCs w:val="21"/>
                <w:highlight w:val="none"/>
              </w:rPr>
              <w:t>得分</w:t>
            </w:r>
            <w:r>
              <w:rPr>
                <w:color w:val="000000"/>
                <w:szCs w:val="21"/>
                <w:highlight w:val="none"/>
              </w:rPr>
              <w:t>≤2</w:t>
            </w:r>
          </w:p>
        </w:tc>
      </w:tr>
      <w:tr w14:paraId="05D7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1F853034">
            <w:pPr>
              <w:jc w:val="center"/>
              <w:rPr>
                <w:color w:val="000000"/>
                <w:szCs w:val="21"/>
                <w:highlight w:val="none"/>
              </w:rPr>
            </w:pPr>
            <w:r>
              <w:rPr>
                <w:color w:val="000000"/>
                <w:szCs w:val="21"/>
                <w:highlight w:val="none"/>
              </w:rPr>
              <w:t>3</w:t>
            </w:r>
          </w:p>
        </w:tc>
        <w:tc>
          <w:tcPr>
            <w:tcW w:w="1134" w:type="dxa"/>
            <w:vMerge w:val="restart"/>
            <w:noWrap w:val="0"/>
            <w:vAlign w:val="center"/>
          </w:tcPr>
          <w:p w14:paraId="74244816">
            <w:pPr>
              <w:jc w:val="left"/>
              <w:rPr>
                <w:color w:val="000000"/>
                <w:szCs w:val="21"/>
                <w:highlight w:val="none"/>
              </w:rPr>
            </w:pPr>
            <w:r>
              <w:rPr>
                <w:rFonts w:hint="eastAsia"/>
                <w:color w:val="000000"/>
                <w:szCs w:val="21"/>
                <w:highlight w:val="none"/>
              </w:rPr>
              <w:t>质量管理体系与措施</w:t>
            </w:r>
          </w:p>
        </w:tc>
        <w:tc>
          <w:tcPr>
            <w:tcW w:w="992" w:type="dxa"/>
            <w:vMerge w:val="restart"/>
            <w:noWrap w:val="0"/>
            <w:vAlign w:val="center"/>
          </w:tcPr>
          <w:p w14:paraId="2EB679AD">
            <w:pPr>
              <w:jc w:val="center"/>
              <w:rPr>
                <w:color w:val="000000"/>
                <w:szCs w:val="21"/>
                <w:highlight w:val="none"/>
              </w:rPr>
            </w:pPr>
            <w:r>
              <w:rPr>
                <w:color w:val="000000"/>
                <w:szCs w:val="21"/>
                <w:highlight w:val="none"/>
              </w:rPr>
              <w:t>1-2</w:t>
            </w:r>
            <w:r>
              <w:rPr>
                <w:rFonts w:hint="eastAsia"/>
                <w:color w:val="000000"/>
                <w:szCs w:val="21"/>
                <w:highlight w:val="none"/>
              </w:rPr>
              <w:t>分</w:t>
            </w:r>
          </w:p>
        </w:tc>
        <w:tc>
          <w:tcPr>
            <w:tcW w:w="5775" w:type="dxa"/>
            <w:noWrap w:val="0"/>
            <w:vAlign w:val="center"/>
          </w:tcPr>
          <w:p w14:paraId="77F70FF5">
            <w:pPr>
              <w:spacing w:line="360" w:lineRule="exact"/>
              <w:rPr>
                <w:color w:val="000000"/>
                <w:szCs w:val="21"/>
                <w:highlight w:val="none"/>
              </w:rPr>
            </w:pPr>
            <w:r>
              <w:rPr>
                <w:rFonts w:hint="eastAsia"/>
                <w:color w:val="000000"/>
                <w:szCs w:val="21"/>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827" w:type="dxa"/>
            <w:noWrap w:val="0"/>
            <w:vAlign w:val="center"/>
          </w:tcPr>
          <w:p w14:paraId="016A649B">
            <w:pPr>
              <w:jc w:val="center"/>
              <w:rPr>
                <w:color w:val="000000"/>
                <w:szCs w:val="21"/>
                <w:highlight w:val="none"/>
              </w:rPr>
            </w:pPr>
            <w:r>
              <w:rPr>
                <w:color w:val="000000"/>
                <w:szCs w:val="21"/>
                <w:highlight w:val="none"/>
              </w:rPr>
              <w:t>1.5</w:t>
            </w:r>
            <w:r>
              <w:rPr>
                <w:rFonts w:hint="eastAsia"/>
                <w:color w:val="000000"/>
                <w:szCs w:val="21"/>
                <w:highlight w:val="none"/>
              </w:rPr>
              <w:t>＜得分</w:t>
            </w:r>
            <w:r>
              <w:rPr>
                <w:color w:val="000000"/>
                <w:szCs w:val="21"/>
                <w:highlight w:val="none"/>
              </w:rPr>
              <w:t>≤2</w:t>
            </w:r>
          </w:p>
        </w:tc>
      </w:tr>
      <w:tr w14:paraId="199F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48436EA9">
            <w:pPr>
              <w:jc w:val="left"/>
              <w:rPr>
                <w:color w:val="000000"/>
                <w:szCs w:val="21"/>
                <w:highlight w:val="none"/>
              </w:rPr>
            </w:pPr>
          </w:p>
        </w:tc>
        <w:tc>
          <w:tcPr>
            <w:tcW w:w="1134" w:type="dxa"/>
            <w:vMerge w:val="continue"/>
            <w:noWrap w:val="0"/>
            <w:vAlign w:val="center"/>
          </w:tcPr>
          <w:p w14:paraId="6F7832F8">
            <w:pPr>
              <w:jc w:val="left"/>
              <w:rPr>
                <w:color w:val="000000"/>
                <w:szCs w:val="21"/>
                <w:highlight w:val="none"/>
              </w:rPr>
            </w:pPr>
          </w:p>
        </w:tc>
        <w:tc>
          <w:tcPr>
            <w:tcW w:w="992" w:type="dxa"/>
            <w:vMerge w:val="continue"/>
            <w:noWrap w:val="0"/>
            <w:vAlign w:val="center"/>
          </w:tcPr>
          <w:p w14:paraId="01326731">
            <w:pPr>
              <w:jc w:val="left"/>
              <w:rPr>
                <w:color w:val="000000"/>
                <w:szCs w:val="21"/>
                <w:highlight w:val="none"/>
              </w:rPr>
            </w:pPr>
          </w:p>
        </w:tc>
        <w:tc>
          <w:tcPr>
            <w:tcW w:w="5775" w:type="dxa"/>
            <w:noWrap w:val="0"/>
            <w:vAlign w:val="center"/>
          </w:tcPr>
          <w:p w14:paraId="4269507A">
            <w:pPr>
              <w:spacing w:line="360" w:lineRule="exact"/>
              <w:rPr>
                <w:color w:val="000000"/>
                <w:szCs w:val="21"/>
                <w:highlight w:val="none"/>
              </w:rPr>
            </w:pPr>
            <w:r>
              <w:rPr>
                <w:rFonts w:hint="eastAsia"/>
                <w:color w:val="000000"/>
                <w:szCs w:val="21"/>
                <w:highlight w:val="none"/>
              </w:rPr>
              <w:t>组织机构形式基本合理，指挥系统、质量监控系统、联络协调系统，具体措施可行。主体结构质量保证措施经济、安全、基本可行。主体结构、装饰装修符合工程建设强制性标准，不得偷工减料。</w:t>
            </w:r>
          </w:p>
        </w:tc>
        <w:tc>
          <w:tcPr>
            <w:tcW w:w="827" w:type="dxa"/>
            <w:noWrap w:val="0"/>
            <w:vAlign w:val="center"/>
          </w:tcPr>
          <w:p w14:paraId="10A24731">
            <w:pPr>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≤1.5</w:t>
            </w:r>
          </w:p>
        </w:tc>
      </w:tr>
      <w:tr w14:paraId="6CFC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620DE023">
            <w:pPr>
              <w:jc w:val="center"/>
              <w:rPr>
                <w:color w:val="000000"/>
                <w:szCs w:val="21"/>
                <w:highlight w:val="none"/>
              </w:rPr>
            </w:pPr>
            <w:r>
              <w:rPr>
                <w:color w:val="000000"/>
                <w:szCs w:val="21"/>
                <w:highlight w:val="none"/>
              </w:rPr>
              <w:t>4</w:t>
            </w:r>
          </w:p>
        </w:tc>
        <w:tc>
          <w:tcPr>
            <w:tcW w:w="1134" w:type="dxa"/>
            <w:vMerge w:val="restart"/>
            <w:noWrap w:val="0"/>
            <w:vAlign w:val="center"/>
          </w:tcPr>
          <w:p w14:paraId="00B81E36">
            <w:pPr>
              <w:jc w:val="left"/>
              <w:rPr>
                <w:color w:val="000000"/>
                <w:szCs w:val="21"/>
                <w:highlight w:val="none"/>
              </w:rPr>
            </w:pPr>
            <w:r>
              <w:rPr>
                <w:rFonts w:hint="eastAsia"/>
                <w:color w:val="000000"/>
                <w:szCs w:val="21"/>
                <w:highlight w:val="none"/>
              </w:rPr>
              <w:t>安全管理体系与措施</w:t>
            </w:r>
          </w:p>
        </w:tc>
        <w:tc>
          <w:tcPr>
            <w:tcW w:w="992" w:type="dxa"/>
            <w:vMerge w:val="restart"/>
            <w:noWrap w:val="0"/>
            <w:vAlign w:val="center"/>
          </w:tcPr>
          <w:p w14:paraId="3936DC25">
            <w:pPr>
              <w:jc w:val="center"/>
              <w:rPr>
                <w:color w:val="000000"/>
                <w:szCs w:val="21"/>
                <w:highlight w:val="none"/>
              </w:rPr>
            </w:pPr>
            <w:r>
              <w:rPr>
                <w:color w:val="000000"/>
                <w:szCs w:val="21"/>
                <w:highlight w:val="none"/>
              </w:rPr>
              <w:t xml:space="preserve"> 1-2</w:t>
            </w:r>
            <w:r>
              <w:rPr>
                <w:rFonts w:hint="eastAsia"/>
                <w:color w:val="000000"/>
                <w:szCs w:val="21"/>
                <w:highlight w:val="none"/>
              </w:rPr>
              <w:t>分</w:t>
            </w:r>
          </w:p>
        </w:tc>
        <w:tc>
          <w:tcPr>
            <w:tcW w:w="5775" w:type="dxa"/>
            <w:noWrap w:val="0"/>
            <w:vAlign w:val="center"/>
          </w:tcPr>
          <w:p w14:paraId="72975113">
            <w:pPr>
              <w:spacing w:line="360" w:lineRule="exact"/>
              <w:rPr>
                <w:color w:val="000000"/>
                <w:szCs w:val="21"/>
                <w:highlight w:val="none"/>
              </w:rPr>
            </w:pPr>
            <w:r>
              <w:rPr>
                <w:rFonts w:hint="eastAsia"/>
                <w:color w:val="000000"/>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827" w:type="dxa"/>
            <w:noWrap w:val="0"/>
            <w:vAlign w:val="center"/>
          </w:tcPr>
          <w:p w14:paraId="1BB40BD9">
            <w:pPr>
              <w:jc w:val="center"/>
              <w:rPr>
                <w:color w:val="000000"/>
                <w:szCs w:val="21"/>
                <w:highlight w:val="none"/>
              </w:rPr>
            </w:pPr>
            <w:r>
              <w:rPr>
                <w:color w:val="000000"/>
                <w:szCs w:val="21"/>
                <w:highlight w:val="none"/>
              </w:rPr>
              <w:t>1.5</w:t>
            </w:r>
            <w:r>
              <w:rPr>
                <w:rFonts w:hint="eastAsia"/>
                <w:color w:val="000000"/>
                <w:szCs w:val="21"/>
                <w:highlight w:val="none"/>
              </w:rPr>
              <w:t>＜得分</w:t>
            </w:r>
            <w:r>
              <w:rPr>
                <w:color w:val="000000"/>
                <w:szCs w:val="21"/>
                <w:highlight w:val="none"/>
              </w:rPr>
              <w:t>≤2</w:t>
            </w:r>
          </w:p>
        </w:tc>
      </w:tr>
      <w:tr w14:paraId="3369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44E79D23">
            <w:pPr>
              <w:jc w:val="left"/>
              <w:rPr>
                <w:color w:val="000000"/>
                <w:szCs w:val="21"/>
                <w:highlight w:val="none"/>
              </w:rPr>
            </w:pPr>
          </w:p>
        </w:tc>
        <w:tc>
          <w:tcPr>
            <w:tcW w:w="1134" w:type="dxa"/>
            <w:vMerge w:val="continue"/>
            <w:noWrap w:val="0"/>
            <w:vAlign w:val="center"/>
          </w:tcPr>
          <w:p w14:paraId="7A0A25A1">
            <w:pPr>
              <w:jc w:val="left"/>
              <w:rPr>
                <w:color w:val="000000"/>
                <w:szCs w:val="21"/>
                <w:highlight w:val="none"/>
              </w:rPr>
            </w:pPr>
          </w:p>
        </w:tc>
        <w:tc>
          <w:tcPr>
            <w:tcW w:w="992" w:type="dxa"/>
            <w:vMerge w:val="continue"/>
            <w:noWrap w:val="0"/>
            <w:vAlign w:val="center"/>
          </w:tcPr>
          <w:p w14:paraId="50233523">
            <w:pPr>
              <w:jc w:val="left"/>
              <w:rPr>
                <w:color w:val="000000"/>
                <w:szCs w:val="21"/>
                <w:highlight w:val="none"/>
              </w:rPr>
            </w:pPr>
          </w:p>
        </w:tc>
        <w:tc>
          <w:tcPr>
            <w:tcW w:w="5775" w:type="dxa"/>
            <w:noWrap w:val="0"/>
            <w:vAlign w:val="center"/>
          </w:tcPr>
          <w:p w14:paraId="6C2D0A8E">
            <w:pPr>
              <w:spacing w:line="340" w:lineRule="exact"/>
              <w:rPr>
                <w:color w:val="000000"/>
                <w:szCs w:val="21"/>
                <w:highlight w:val="none"/>
              </w:rPr>
            </w:pPr>
            <w:r>
              <w:rPr>
                <w:rFonts w:hint="eastAsia"/>
                <w:color w:val="000000"/>
                <w:szCs w:val="21"/>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827" w:type="dxa"/>
            <w:noWrap w:val="0"/>
            <w:vAlign w:val="center"/>
          </w:tcPr>
          <w:p w14:paraId="0E692653">
            <w:pPr>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≤1.5</w:t>
            </w:r>
          </w:p>
        </w:tc>
      </w:tr>
      <w:tr w14:paraId="055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166D5573">
            <w:pPr>
              <w:spacing w:line="400" w:lineRule="exact"/>
              <w:jc w:val="center"/>
              <w:rPr>
                <w:color w:val="000000"/>
                <w:szCs w:val="21"/>
                <w:highlight w:val="none"/>
              </w:rPr>
            </w:pPr>
            <w:r>
              <w:rPr>
                <w:color w:val="000000"/>
                <w:szCs w:val="21"/>
                <w:highlight w:val="none"/>
              </w:rPr>
              <w:t>5</w:t>
            </w:r>
          </w:p>
        </w:tc>
        <w:tc>
          <w:tcPr>
            <w:tcW w:w="1134" w:type="dxa"/>
            <w:vMerge w:val="restart"/>
            <w:noWrap w:val="0"/>
            <w:vAlign w:val="center"/>
          </w:tcPr>
          <w:p w14:paraId="5E71585C">
            <w:pPr>
              <w:spacing w:line="400" w:lineRule="exact"/>
              <w:jc w:val="left"/>
              <w:rPr>
                <w:color w:val="000000"/>
                <w:szCs w:val="21"/>
                <w:highlight w:val="none"/>
              </w:rPr>
            </w:pPr>
            <w:r>
              <w:rPr>
                <w:rFonts w:hint="eastAsia"/>
                <w:color w:val="000000"/>
                <w:szCs w:val="21"/>
                <w:highlight w:val="none"/>
              </w:rPr>
              <w:t>文明施工、环境保护管理体系及施工现场扬尘治理措施</w:t>
            </w:r>
            <w:r>
              <w:rPr>
                <w:color w:val="000000"/>
                <w:kern w:val="0"/>
                <w:szCs w:val="21"/>
                <w:highlight w:val="none"/>
              </w:rPr>
              <w:t xml:space="preserve">  </w:t>
            </w:r>
          </w:p>
        </w:tc>
        <w:tc>
          <w:tcPr>
            <w:tcW w:w="992" w:type="dxa"/>
            <w:vMerge w:val="restart"/>
            <w:noWrap w:val="0"/>
            <w:vAlign w:val="center"/>
          </w:tcPr>
          <w:p w14:paraId="4AF7C913">
            <w:pPr>
              <w:spacing w:line="400" w:lineRule="exact"/>
              <w:jc w:val="center"/>
              <w:rPr>
                <w:color w:val="000000"/>
                <w:szCs w:val="21"/>
                <w:highlight w:val="none"/>
              </w:rPr>
            </w:pPr>
            <w:r>
              <w:rPr>
                <w:color w:val="000000"/>
                <w:szCs w:val="21"/>
                <w:highlight w:val="none"/>
              </w:rPr>
              <w:t>1-3</w:t>
            </w:r>
            <w:r>
              <w:rPr>
                <w:rFonts w:hint="eastAsia"/>
                <w:color w:val="000000"/>
                <w:szCs w:val="21"/>
                <w:highlight w:val="none"/>
              </w:rPr>
              <w:t>分</w:t>
            </w:r>
          </w:p>
        </w:tc>
        <w:tc>
          <w:tcPr>
            <w:tcW w:w="5775" w:type="dxa"/>
            <w:noWrap w:val="0"/>
            <w:vAlign w:val="center"/>
          </w:tcPr>
          <w:p w14:paraId="065BD388">
            <w:pPr>
              <w:spacing w:line="400" w:lineRule="exact"/>
              <w:rPr>
                <w:color w:val="000000"/>
                <w:szCs w:val="21"/>
                <w:highlight w:val="none"/>
              </w:rPr>
            </w:pPr>
            <w:r>
              <w:rPr>
                <w:rFonts w:hint="eastAsia"/>
                <w:color w:val="000000"/>
                <w:szCs w:val="21"/>
                <w:highlight w:val="none"/>
              </w:rPr>
              <w:t>创安全文明标准化工地目标明确，有针对项目实际情况，科学可行的创建计划和符合相关标准、规范、规程的创建保证措施和安全文明施工费用投入使用计划，现场施工区、生活区、办公区等设置科学规范，符合有关文明施工、健康卫生的规定。施工现场扬尘治理措施符合河南省《城市房屋建筑和市政基础设施工程及道路扬尘污染防治标准》（</w:t>
            </w:r>
            <w:r>
              <w:rPr>
                <w:color w:val="000000"/>
                <w:szCs w:val="21"/>
                <w:highlight w:val="none"/>
              </w:rPr>
              <w:t>DBJ41/174</w:t>
            </w:r>
            <w:r>
              <w:rPr>
                <w:rFonts w:hint="eastAsia"/>
                <w:color w:val="000000"/>
                <w:szCs w:val="21"/>
                <w:highlight w:val="none"/>
              </w:rPr>
              <w:t>）的规定，防治方案科学、先进。</w:t>
            </w:r>
          </w:p>
        </w:tc>
        <w:tc>
          <w:tcPr>
            <w:tcW w:w="827" w:type="dxa"/>
            <w:noWrap w:val="0"/>
            <w:vAlign w:val="center"/>
          </w:tcPr>
          <w:p w14:paraId="21DA6F04">
            <w:pPr>
              <w:spacing w:line="400" w:lineRule="exact"/>
              <w:jc w:val="center"/>
              <w:rPr>
                <w:color w:val="000000"/>
                <w:szCs w:val="21"/>
                <w:highlight w:val="none"/>
              </w:rPr>
            </w:pPr>
            <w:r>
              <w:rPr>
                <w:color w:val="000000"/>
                <w:szCs w:val="21"/>
                <w:highlight w:val="none"/>
              </w:rPr>
              <w:t>2</w:t>
            </w:r>
            <w:r>
              <w:rPr>
                <w:rFonts w:hint="eastAsia"/>
                <w:color w:val="000000"/>
                <w:szCs w:val="21"/>
                <w:highlight w:val="none"/>
              </w:rPr>
              <w:t>＜得分</w:t>
            </w:r>
            <w:r>
              <w:rPr>
                <w:color w:val="000000"/>
                <w:szCs w:val="21"/>
                <w:highlight w:val="none"/>
              </w:rPr>
              <w:t>≤3</w:t>
            </w:r>
          </w:p>
        </w:tc>
      </w:tr>
      <w:tr w14:paraId="7AF3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6FD6BDEA">
            <w:pPr>
              <w:spacing w:line="400" w:lineRule="exact"/>
              <w:jc w:val="left"/>
              <w:rPr>
                <w:color w:val="000000"/>
                <w:szCs w:val="21"/>
                <w:highlight w:val="none"/>
              </w:rPr>
            </w:pPr>
          </w:p>
        </w:tc>
        <w:tc>
          <w:tcPr>
            <w:tcW w:w="1134" w:type="dxa"/>
            <w:vMerge w:val="continue"/>
            <w:noWrap w:val="0"/>
            <w:vAlign w:val="center"/>
          </w:tcPr>
          <w:p w14:paraId="4407B4AF">
            <w:pPr>
              <w:spacing w:line="400" w:lineRule="exact"/>
              <w:jc w:val="left"/>
              <w:rPr>
                <w:color w:val="000000"/>
                <w:szCs w:val="21"/>
                <w:highlight w:val="none"/>
              </w:rPr>
            </w:pPr>
          </w:p>
        </w:tc>
        <w:tc>
          <w:tcPr>
            <w:tcW w:w="992" w:type="dxa"/>
            <w:vMerge w:val="continue"/>
            <w:noWrap w:val="0"/>
            <w:vAlign w:val="center"/>
          </w:tcPr>
          <w:p w14:paraId="69513536">
            <w:pPr>
              <w:spacing w:line="400" w:lineRule="exact"/>
              <w:jc w:val="left"/>
              <w:rPr>
                <w:color w:val="000000"/>
                <w:szCs w:val="21"/>
                <w:highlight w:val="none"/>
              </w:rPr>
            </w:pPr>
          </w:p>
        </w:tc>
        <w:tc>
          <w:tcPr>
            <w:tcW w:w="5775" w:type="dxa"/>
            <w:noWrap w:val="0"/>
            <w:vAlign w:val="center"/>
          </w:tcPr>
          <w:p w14:paraId="20C09E9D">
            <w:pPr>
              <w:spacing w:line="400" w:lineRule="exact"/>
              <w:rPr>
                <w:color w:val="000000"/>
                <w:szCs w:val="21"/>
                <w:highlight w:val="none"/>
              </w:rPr>
            </w:pPr>
            <w:r>
              <w:rPr>
                <w:rFonts w:hint="eastAsia"/>
                <w:color w:val="000000"/>
                <w:szCs w:val="21"/>
                <w:highlight w:val="none"/>
              </w:rPr>
              <w:t>有安全文明标准化工地创建目标计划和创建措施，有安全文明施工费用投入使用计划，现场施工区、生活区、办公区等设置符合有关文明施工、健康卫生的规定。施工现场扬尘治理措施基本达到河南省《城市房屋建筑和市政基础设施工程及道路扬尘污染防治标准》（</w:t>
            </w:r>
            <w:r>
              <w:rPr>
                <w:color w:val="000000"/>
                <w:szCs w:val="21"/>
                <w:highlight w:val="none"/>
              </w:rPr>
              <w:t>DBJ41/174</w:t>
            </w:r>
            <w:r>
              <w:rPr>
                <w:rFonts w:hint="eastAsia"/>
                <w:color w:val="000000"/>
                <w:szCs w:val="21"/>
                <w:highlight w:val="none"/>
              </w:rPr>
              <w:t>）的规定，有防治方案。</w:t>
            </w:r>
          </w:p>
        </w:tc>
        <w:tc>
          <w:tcPr>
            <w:tcW w:w="827" w:type="dxa"/>
            <w:noWrap w:val="0"/>
            <w:vAlign w:val="center"/>
          </w:tcPr>
          <w:p w14:paraId="3CE16E44">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≤2</w:t>
            </w:r>
          </w:p>
        </w:tc>
      </w:tr>
      <w:tr w14:paraId="5056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3A701E27">
            <w:pPr>
              <w:spacing w:line="400" w:lineRule="exact"/>
              <w:jc w:val="center"/>
              <w:rPr>
                <w:color w:val="000000"/>
                <w:szCs w:val="21"/>
                <w:highlight w:val="none"/>
              </w:rPr>
            </w:pPr>
            <w:r>
              <w:rPr>
                <w:color w:val="000000"/>
                <w:szCs w:val="21"/>
                <w:highlight w:val="none"/>
              </w:rPr>
              <w:t>6</w:t>
            </w:r>
          </w:p>
        </w:tc>
        <w:tc>
          <w:tcPr>
            <w:tcW w:w="1134" w:type="dxa"/>
            <w:vMerge w:val="restart"/>
            <w:noWrap w:val="0"/>
            <w:vAlign w:val="center"/>
          </w:tcPr>
          <w:p w14:paraId="0D76C7D3">
            <w:pPr>
              <w:spacing w:line="400" w:lineRule="exact"/>
              <w:jc w:val="left"/>
              <w:rPr>
                <w:color w:val="000000"/>
                <w:szCs w:val="21"/>
                <w:highlight w:val="none"/>
              </w:rPr>
            </w:pPr>
            <w:r>
              <w:rPr>
                <w:rFonts w:hint="eastAsia"/>
                <w:color w:val="000000"/>
                <w:szCs w:val="21"/>
                <w:highlight w:val="none"/>
              </w:rPr>
              <w:t>工期保证措施</w:t>
            </w:r>
          </w:p>
        </w:tc>
        <w:tc>
          <w:tcPr>
            <w:tcW w:w="992" w:type="dxa"/>
            <w:vMerge w:val="restart"/>
            <w:noWrap w:val="0"/>
            <w:vAlign w:val="center"/>
          </w:tcPr>
          <w:p w14:paraId="2FAE30FC">
            <w:pPr>
              <w:spacing w:line="400" w:lineRule="exact"/>
              <w:jc w:val="center"/>
              <w:rPr>
                <w:color w:val="000000"/>
                <w:szCs w:val="21"/>
                <w:highlight w:val="none"/>
              </w:rPr>
            </w:pPr>
            <w:r>
              <w:rPr>
                <w:color w:val="000000"/>
                <w:szCs w:val="21"/>
                <w:highlight w:val="none"/>
              </w:rPr>
              <w:t>1-2</w:t>
            </w:r>
            <w:r>
              <w:rPr>
                <w:rFonts w:hint="eastAsia"/>
                <w:color w:val="000000"/>
                <w:szCs w:val="21"/>
                <w:highlight w:val="none"/>
              </w:rPr>
              <w:t>分</w:t>
            </w:r>
          </w:p>
        </w:tc>
        <w:tc>
          <w:tcPr>
            <w:tcW w:w="5775" w:type="dxa"/>
            <w:noWrap w:val="0"/>
            <w:vAlign w:val="center"/>
          </w:tcPr>
          <w:p w14:paraId="16AE1234">
            <w:pPr>
              <w:spacing w:line="400" w:lineRule="exact"/>
              <w:rPr>
                <w:color w:val="000000"/>
                <w:szCs w:val="21"/>
                <w:highlight w:val="none"/>
              </w:rPr>
            </w:pPr>
            <w:r>
              <w:rPr>
                <w:rFonts w:hint="eastAsia"/>
                <w:color w:val="000000"/>
                <w:szCs w:val="21"/>
                <w:highlight w:val="none"/>
              </w:rPr>
              <w:t>工期承诺满足招标文件要求，工期保证措施合理且有针对性，有具体的违约责任承诺。</w:t>
            </w:r>
          </w:p>
        </w:tc>
        <w:tc>
          <w:tcPr>
            <w:tcW w:w="827" w:type="dxa"/>
            <w:noWrap w:val="0"/>
            <w:vAlign w:val="center"/>
          </w:tcPr>
          <w:p w14:paraId="0EC5714C">
            <w:pPr>
              <w:spacing w:line="400" w:lineRule="exact"/>
              <w:jc w:val="center"/>
              <w:rPr>
                <w:color w:val="000000"/>
                <w:szCs w:val="21"/>
                <w:highlight w:val="none"/>
              </w:rPr>
            </w:pPr>
            <w:r>
              <w:rPr>
                <w:color w:val="000000"/>
                <w:szCs w:val="21"/>
                <w:highlight w:val="none"/>
              </w:rPr>
              <w:t>1.5</w:t>
            </w:r>
            <w:r>
              <w:rPr>
                <w:rFonts w:hint="eastAsia"/>
                <w:color w:val="000000"/>
                <w:szCs w:val="21"/>
                <w:highlight w:val="none"/>
              </w:rPr>
              <w:t>＜得分</w:t>
            </w:r>
            <w:r>
              <w:rPr>
                <w:color w:val="000000"/>
                <w:szCs w:val="21"/>
                <w:highlight w:val="none"/>
              </w:rPr>
              <w:t>≤2</w:t>
            </w:r>
          </w:p>
        </w:tc>
      </w:tr>
      <w:tr w14:paraId="391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389734A7">
            <w:pPr>
              <w:spacing w:line="400" w:lineRule="exact"/>
              <w:jc w:val="left"/>
              <w:rPr>
                <w:color w:val="000000"/>
                <w:szCs w:val="21"/>
                <w:highlight w:val="none"/>
              </w:rPr>
            </w:pPr>
          </w:p>
        </w:tc>
        <w:tc>
          <w:tcPr>
            <w:tcW w:w="1134" w:type="dxa"/>
            <w:vMerge w:val="continue"/>
            <w:noWrap w:val="0"/>
            <w:vAlign w:val="center"/>
          </w:tcPr>
          <w:p w14:paraId="40B8F53B">
            <w:pPr>
              <w:spacing w:line="400" w:lineRule="exact"/>
              <w:jc w:val="left"/>
              <w:rPr>
                <w:color w:val="000000"/>
                <w:szCs w:val="21"/>
                <w:highlight w:val="none"/>
              </w:rPr>
            </w:pPr>
          </w:p>
        </w:tc>
        <w:tc>
          <w:tcPr>
            <w:tcW w:w="992" w:type="dxa"/>
            <w:vMerge w:val="continue"/>
            <w:noWrap w:val="0"/>
            <w:vAlign w:val="center"/>
          </w:tcPr>
          <w:p w14:paraId="55AB17BC">
            <w:pPr>
              <w:spacing w:line="400" w:lineRule="exact"/>
              <w:jc w:val="left"/>
              <w:rPr>
                <w:color w:val="000000"/>
                <w:szCs w:val="21"/>
                <w:highlight w:val="none"/>
              </w:rPr>
            </w:pPr>
          </w:p>
        </w:tc>
        <w:tc>
          <w:tcPr>
            <w:tcW w:w="5775" w:type="dxa"/>
            <w:noWrap w:val="0"/>
            <w:vAlign w:val="center"/>
          </w:tcPr>
          <w:p w14:paraId="1441739E">
            <w:pPr>
              <w:spacing w:line="400" w:lineRule="exact"/>
              <w:rPr>
                <w:color w:val="000000"/>
                <w:szCs w:val="21"/>
                <w:highlight w:val="none"/>
              </w:rPr>
            </w:pPr>
            <w:r>
              <w:rPr>
                <w:rFonts w:hint="eastAsia"/>
                <w:color w:val="000000"/>
                <w:szCs w:val="21"/>
                <w:highlight w:val="none"/>
              </w:rPr>
              <w:t>工期承诺满足招标文件要求，工期保证措施基本合理，有具体的违约责任承诺。</w:t>
            </w:r>
          </w:p>
        </w:tc>
        <w:tc>
          <w:tcPr>
            <w:tcW w:w="827" w:type="dxa"/>
            <w:noWrap w:val="0"/>
            <w:vAlign w:val="center"/>
          </w:tcPr>
          <w:p w14:paraId="737FD997">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≤1.5</w:t>
            </w:r>
          </w:p>
        </w:tc>
      </w:tr>
      <w:tr w14:paraId="79D6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782CD333">
            <w:pPr>
              <w:spacing w:line="400" w:lineRule="exact"/>
              <w:jc w:val="center"/>
              <w:rPr>
                <w:color w:val="000000"/>
                <w:szCs w:val="21"/>
                <w:highlight w:val="none"/>
              </w:rPr>
            </w:pPr>
            <w:r>
              <w:rPr>
                <w:color w:val="000000"/>
                <w:szCs w:val="21"/>
                <w:highlight w:val="none"/>
              </w:rPr>
              <w:t>7</w:t>
            </w:r>
          </w:p>
        </w:tc>
        <w:tc>
          <w:tcPr>
            <w:tcW w:w="1134" w:type="dxa"/>
            <w:vMerge w:val="restart"/>
            <w:noWrap w:val="0"/>
            <w:vAlign w:val="center"/>
          </w:tcPr>
          <w:p w14:paraId="76DEF6DC">
            <w:pPr>
              <w:spacing w:line="400" w:lineRule="exact"/>
              <w:jc w:val="center"/>
              <w:rPr>
                <w:color w:val="000000"/>
                <w:szCs w:val="21"/>
                <w:highlight w:val="none"/>
              </w:rPr>
            </w:pPr>
            <w:r>
              <w:rPr>
                <w:rFonts w:hint="eastAsia"/>
                <w:color w:val="000000"/>
                <w:szCs w:val="21"/>
                <w:highlight w:val="none"/>
              </w:rPr>
              <w:t>拟投入资源配备计划</w:t>
            </w:r>
          </w:p>
        </w:tc>
        <w:tc>
          <w:tcPr>
            <w:tcW w:w="992" w:type="dxa"/>
            <w:vMerge w:val="restart"/>
            <w:noWrap w:val="0"/>
            <w:vAlign w:val="center"/>
          </w:tcPr>
          <w:p w14:paraId="76FB8966">
            <w:pPr>
              <w:spacing w:line="400" w:lineRule="exact"/>
              <w:jc w:val="center"/>
              <w:rPr>
                <w:color w:val="000000"/>
                <w:szCs w:val="21"/>
                <w:highlight w:val="none"/>
              </w:rPr>
            </w:pPr>
            <w:r>
              <w:rPr>
                <w:color w:val="000000"/>
                <w:szCs w:val="21"/>
                <w:highlight w:val="none"/>
              </w:rPr>
              <w:t>0.5-2</w:t>
            </w:r>
            <w:r>
              <w:rPr>
                <w:rFonts w:hint="eastAsia"/>
                <w:color w:val="000000"/>
                <w:szCs w:val="21"/>
                <w:highlight w:val="none"/>
              </w:rPr>
              <w:t>分</w:t>
            </w:r>
          </w:p>
        </w:tc>
        <w:tc>
          <w:tcPr>
            <w:tcW w:w="5775" w:type="dxa"/>
            <w:noWrap w:val="0"/>
            <w:vAlign w:val="center"/>
          </w:tcPr>
          <w:p w14:paraId="010FBB8E">
            <w:pPr>
              <w:spacing w:line="400" w:lineRule="exact"/>
              <w:rPr>
                <w:color w:val="000000"/>
                <w:szCs w:val="21"/>
                <w:highlight w:val="none"/>
              </w:rPr>
            </w:pPr>
            <w:r>
              <w:rPr>
                <w:color w:val="000000"/>
                <w:szCs w:val="21"/>
                <w:highlight w:val="none"/>
              </w:rPr>
              <w:t>1.</w:t>
            </w:r>
            <w:r>
              <w:rPr>
                <w:rFonts w:hint="eastAsia"/>
                <w:color w:val="000000"/>
                <w:szCs w:val="21"/>
                <w:highlight w:val="none"/>
              </w:rPr>
              <w:t>机械：投入计划与进度计划呼应，采用先进机械设备且配置合理、先进，满足安全技术规范和施工进度需要；</w:t>
            </w:r>
            <w:r>
              <w:rPr>
                <w:color w:val="000000"/>
                <w:szCs w:val="21"/>
                <w:highlight w:val="none"/>
              </w:rPr>
              <w:t>PC</w:t>
            </w:r>
            <w:r>
              <w:rPr>
                <w:rFonts w:hint="eastAsia"/>
                <w:color w:val="000000"/>
                <w:szCs w:val="21"/>
                <w:highlight w:val="none"/>
              </w:rPr>
              <w:t>构件运输、安装设备满足施工要求；</w:t>
            </w:r>
          </w:p>
          <w:p w14:paraId="00ACB929">
            <w:pPr>
              <w:spacing w:line="400" w:lineRule="exact"/>
              <w:rPr>
                <w:color w:val="000000"/>
                <w:szCs w:val="21"/>
                <w:highlight w:val="none"/>
              </w:rPr>
            </w:pPr>
            <w:r>
              <w:rPr>
                <w:color w:val="000000"/>
                <w:szCs w:val="21"/>
                <w:highlight w:val="none"/>
              </w:rPr>
              <w:t>2.</w:t>
            </w:r>
            <w:r>
              <w:rPr>
                <w:rFonts w:hint="eastAsia"/>
                <w:color w:val="000000"/>
                <w:szCs w:val="21"/>
                <w:highlight w:val="none"/>
              </w:rPr>
              <w:t>劳动力：投入计划与进度计划呼应，较好满足施工需要，调配投入计划合理、准确；</w:t>
            </w:r>
          </w:p>
          <w:p w14:paraId="27441D27">
            <w:pPr>
              <w:spacing w:line="400" w:lineRule="exact"/>
              <w:rPr>
                <w:color w:val="000000"/>
                <w:szCs w:val="21"/>
                <w:highlight w:val="none"/>
              </w:rPr>
            </w:pPr>
            <w:r>
              <w:rPr>
                <w:color w:val="000000"/>
                <w:szCs w:val="21"/>
                <w:highlight w:val="none"/>
              </w:rPr>
              <w:t>3.</w:t>
            </w:r>
            <w:r>
              <w:rPr>
                <w:rFonts w:hint="eastAsia"/>
                <w:color w:val="000000"/>
                <w:szCs w:val="21"/>
                <w:highlight w:val="none"/>
              </w:rPr>
              <w:t>主要物资计划：主要物资（含</w:t>
            </w:r>
            <w:r>
              <w:rPr>
                <w:color w:val="000000"/>
                <w:szCs w:val="21"/>
                <w:highlight w:val="none"/>
              </w:rPr>
              <w:t>PC</w:t>
            </w:r>
            <w:r>
              <w:rPr>
                <w:rFonts w:hint="eastAsia"/>
                <w:color w:val="000000"/>
                <w:szCs w:val="21"/>
                <w:highlight w:val="none"/>
              </w:rPr>
              <w:t>构件的供应需求）投入计划与进度计划呼应，较好满足施工需要，调配投入计划合理、准确。</w:t>
            </w:r>
          </w:p>
        </w:tc>
        <w:tc>
          <w:tcPr>
            <w:tcW w:w="827" w:type="dxa"/>
            <w:noWrap w:val="0"/>
            <w:vAlign w:val="center"/>
          </w:tcPr>
          <w:p w14:paraId="615A85EC">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≤2</w:t>
            </w:r>
          </w:p>
        </w:tc>
      </w:tr>
      <w:tr w14:paraId="1033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724" w:type="dxa"/>
            <w:vMerge w:val="continue"/>
            <w:noWrap w:val="0"/>
            <w:vAlign w:val="center"/>
          </w:tcPr>
          <w:p w14:paraId="6B6CE653">
            <w:pPr>
              <w:spacing w:line="400" w:lineRule="exact"/>
              <w:jc w:val="left"/>
              <w:rPr>
                <w:color w:val="000000"/>
                <w:szCs w:val="21"/>
                <w:highlight w:val="none"/>
              </w:rPr>
            </w:pPr>
          </w:p>
        </w:tc>
        <w:tc>
          <w:tcPr>
            <w:tcW w:w="1134" w:type="dxa"/>
            <w:vMerge w:val="continue"/>
            <w:noWrap w:val="0"/>
            <w:vAlign w:val="center"/>
          </w:tcPr>
          <w:p w14:paraId="4E081D84">
            <w:pPr>
              <w:spacing w:line="400" w:lineRule="exact"/>
              <w:jc w:val="left"/>
              <w:rPr>
                <w:color w:val="000000"/>
                <w:szCs w:val="21"/>
                <w:highlight w:val="none"/>
              </w:rPr>
            </w:pPr>
          </w:p>
        </w:tc>
        <w:tc>
          <w:tcPr>
            <w:tcW w:w="992" w:type="dxa"/>
            <w:vMerge w:val="continue"/>
            <w:noWrap w:val="0"/>
            <w:vAlign w:val="center"/>
          </w:tcPr>
          <w:p w14:paraId="76367F33">
            <w:pPr>
              <w:spacing w:line="400" w:lineRule="exact"/>
              <w:jc w:val="left"/>
              <w:rPr>
                <w:color w:val="000000"/>
                <w:szCs w:val="21"/>
                <w:highlight w:val="none"/>
              </w:rPr>
            </w:pPr>
          </w:p>
        </w:tc>
        <w:tc>
          <w:tcPr>
            <w:tcW w:w="5775" w:type="dxa"/>
            <w:noWrap w:val="0"/>
            <w:vAlign w:val="center"/>
          </w:tcPr>
          <w:p w14:paraId="407EB1B7">
            <w:pPr>
              <w:spacing w:line="400" w:lineRule="exact"/>
              <w:rPr>
                <w:color w:val="000000"/>
                <w:szCs w:val="21"/>
                <w:highlight w:val="none"/>
              </w:rPr>
            </w:pPr>
            <w:r>
              <w:rPr>
                <w:color w:val="000000"/>
                <w:szCs w:val="21"/>
                <w:highlight w:val="none"/>
              </w:rPr>
              <w:t>1.</w:t>
            </w:r>
            <w:r>
              <w:rPr>
                <w:rFonts w:hint="eastAsia"/>
                <w:color w:val="000000"/>
                <w:szCs w:val="21"/>
                <w:highlight w:val="none"/>
              </w:rPr>
              <w:t>机械：投入计划与进度计划呼应，机械设备配置基本合理，满足安全技术规范和施工进度需要；</w:t>
            </w:r>
          </w:p>
          <w:p w14:paraId="199C37AE">
            <w:pPr>
              <w:spacing w:line="400" w:lineRule="exact"/>
              <w:rPr>
                <w:color w:val="000000"/>
                <w:szCs w:val="21"/>
                <w:highlight w:val="none"/>
              </w:rPr>
            </w:pPr>
            <w:r>
              <w:rPr>
                <w:color w:val="000000"/>
                <w:szCs w:val="21"/>
                <w:highlight w:val="none"/>
              </w:rPr>
              <w:t>2.</w:t>
            </w:r>
            <w:r>
              <w:rPr>
                <w:rFonts w:hint="eastAsia"/>
                <w:color w:val="000000"/>
                <w:szCs w:val="21"/>
                <w:highlight w:val="none"/>
              </w:rPr>
              <w:t>劳动力：投入计划与进度计划呼应，基本满足施工需要，调配投入计划基本合理；</w:t>
            </w:r>
          </w:p>
          <w:p w14:paraId="198FF91D">
            <w:pPr>
              <w:spacing w:line="400" w:lineRule="exact"/>
              <w:rPr>
                <w:color w:val="000000"/>
                <w:spacing w:val="-4"/>
                <w:szCs w:val="21"/>
                <w:highlight w:val="none"/>
              </w:rPr>
            </w:pPr>
            <w:r>
              <w:rPr>
                <w:color w:val="000000"/>
                <w:spacing w:val="-4"/>
                <w:szCs w:val="21"/>
                <w:highlight w:val="none"/>
              </w:rPr>
              <w:t>3.</w:t>
            </w:r>
            <w:r>
              <w:rPr>
                <w:rFonts w:hint="eastAsia"/>
                <w:color w:val="000000"/>
                <w:spacing w:val="-4"/>
                <w:szCs w:val="21"/>
                <w:highlight w:val="none"/>
              </w:rPr>
              <w:t>主要物资计划：主要物资（含</w:t>
            </w:r>
            <w:r>
              <w:rPr>
                <w:color w:val="000000"/>
                <w:spacing w:val="-4"/>
                <w:szCs w:val="21"/>
                <w:highlight w:val="none"/>
              </w:rPr>
              <w:t>PC</w:t>
            </w:r>
            <w:r>
              <w:rPr>
                <w:rFonts w:hint="eastAsia"/>
                <w:color w:val="000000"/>
                <w:spacing w:val="-4"/>
                <w:szCs w:val="21"/>
                <w:highlight w:val="none"/>
              </w:rPr>
              <w:t>构件的供应需求）投入计划与进度计划呼应，基本满足施工需要，调配投入计划基本合理。</w:t>
            </w:r>
          </w:p>
        </w:tc>
        <w:tc>
          <w:tcPr>
            <w:tcW w:w="827" w:type="dxa"/>
            <w:noWrap w:val="0"/>
            <w:vAlign w:val="center"/>
          </w:tcPr>
          <w:p w14:paraId="7B692CCD">
            <w:pPr>
              <w:spacing w:line="400" w:lineRule="exact"/>
              <w:jc w:val="center"/>
              <w:rPr>
                <w:color w:val="000000"/>
                <w:szCs w:val="21"/>
                <w:highlight w:val="none"/>
              </w:rPr>
            </w:pPr>
            <w:r>
              <w:rPr>
                <w:color w:val="000000"/>
                <w:szCs w:val="21"/>
                <w:highlight w:val="none"/>
              </w:rPr>
              <w:t>0.5≤</w:t>
            </w:r>
            <w:r>
              <w:rPr>
                <w:rFonts w:hint="eastAsia"/>
                <w:color w:val="000000"/>
                <w:szCs w:val="21"/>
                <w:highlight w:val="none"/>
              </w:rPr>
              <w:t>得分</w:t>
            </w:r>
            <w:r>
              <w:rPr>
                <w:color w:val="000000"/>
                <w:szCs w:val="21"/>
                <w:highlight w:val="none"/>
              </w:rPr>
              <w:t>≤1</w:t>
            </w:r>
          </w:p>
        </w:tc>
      </w:tr>
      <w:tr w14:paraId="1635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39DC6856">
            <w:pPr>
              <w:spacing w:line="400" w:lineRule="exact"/>
              <w:jc w:val="center"/>
              <w:rPr>
                <w:color w:val="000000"/>
                <w:szCs w:val="21"/>
                <w:highlight w:val="none"/>
              </w:rPr>
            </w:pPr>
            <w:r>
              <w:rPr>
                <w:color w:val="000000"/>
                <w:szCs w:val="21"/>
                <w:highlight w:val="none"/>
              </w:rPr>
              <w:t>8</w:t>
            </w:r>
          </w:p>
        </w:tc>
        <w:tc>
          <w:tcPr>
            <w:tcW w:w="1134" w:type="dxa"/>
            <w:vMerge w:val="restart"/>
            <w:noWrap w:val="0"/>
            <w:vAlign w:val="center"/>
          </w:tcPr>
          <w:p w14:paraId="1E9EDCE3">
            <w:pPr>
              <w:spacing w:line="400" w:lineRule="exact"/>
              <w:jc w:val="left"/>
              <w:rPr>
                <w:color w:val="000000"/>
                <w:szCs w:val="21"/>
                <w:highlight w:val="none"/>
              </w:rPr>
            </w:pPr>
            <w:r>
              <w:rPr>
                <w:rFonts w:hint="eastAsia"/>
                <w:color w:val="000000"/>
                <w:szCs w:val="21"/>
                <w:highlight w:val="none"/>
              </w:rPr>
              <w:t>施工进度表与网络计划图</w:t>
            </w:r>
          </w:p>
        </w:tc>
        <w:tc>
          <w:tcPr>
            <w:tcW w:w="992" w:type="dxa"/>
            <w:vMerge w:val="restart"/>
            <w:noWrap w:val="0"/>
            <w:vAlign w:val="center"/>
          </w:tcPr>
          <w:p w14:paraId="75409976">
            <w:pPr>
              <w:spacing w:line="400" w:lineRule="exact"/>
              <w:jc w:val="center"/>
              <w:rPr>
                <w:color w:val="000000"/>
                <w:szCs w:val="21"/>
                <w:highlight w:val="none"/>
              </w:rPr>
            </w:pPr>
            <w:r>
              <w:rPr>
                <w:color w:val="000000"/>
                <w:szCs w:val="21"/>
                <w:highlight w:val="none"/>
              </w:rPr>
              <w:t>0.5-2</w:t>
            </w:r>
            <w:r>
              <w:rPr>
                <w:rFonts w:hint="eastAsia"/>
                <w:color w:val="000000"/>
                <w:szCs w:val="21"/>
                <w:highlight w:val="none"/>
              </w:rPr>
              <w:t>分</w:t>
            </w:r>
          </w:p>
        </w:tc>
        <w:tc>
          <w:tcPr>
            <w:tcW w:w="5775" w:type="dxa"/>
            <w:noWrap w:val="0"/>
            <w:vAlign w:val="center"/>
          </w:tcPr>
          <w:p w14:paraId="0D1326F4">
            <w:pPr>
              <w:spacing w:line="400" w:lineRule="exact"/>
              <w:rPr>
                <w:color w:val="000000"/>
                <w:szCs w:val="21"/>
                <w:highlight w:val="none"/>
              </w:rPr>
            </w:pPr>
            <w:r>
              <w:rPr>
                <w:rFonts w:hint="eastAsia"/>
                <w:color w:val="000000"/>
                <w:szCs w:val="21"/>
                <w:highlight w:val="none"/>
              </w:rPr>
              <w:t>关键线路清晰、准确、完整、计划编制合理、可行、满足招标文件对工期的要求。</w:t>
            </w:r>
          </w:p>
        </w:tc>
        <w:tc>
          <w:tcPr>
            <w:tcW w:w="827" w:type="dxa"/>
            <w:noWrap w:val="0"/>
            <w:vAlign w:val="center"/>
          </w:tcPr>
          <w:p w14:paraId="4B560146">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≤2</w:t>
            </w:r>
          </w:p>
        </w:tc>
      </w:tr>
      <w:tr w14:paraId="2C02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464E0CE0">
            <w:pPr>
              <w:spacing w:line="400" w:lineRule="exact"/>
              <w:jc w:val="left"/>
              <w:rPr>
                <w:color w:val="000000"/>
                <w:szCs w:val="21"/>
                <w:highlight w:val="none"/>
              </w:rPr>
            </w:pPr>
          </w:p>
        </w:tc>
        <w:tc>
          <w:tcPr>
            <w:tcW w:w="1134" w:type="dxa"/>
            <w:vMerge w:val="continue"/>
            <w:noWrap w:val="0"/>
            <w:vAlign w:val="center"/>
          </w:tcPr>
          <w:p w14:paraId="2F6B0CB6">
            <w:pPr>
              <w:spacing w:line="400" w:lineRule="exact"/>
              <w:jc w:val="left"/>
              <w:rPr>
                <w:color w:val="000000"/>
                <w:szCs w:val="21"/>
                <w:highlight w:val="none"/>
              </w:rPr>
            </w:pPr>
          </w:p>
        </w:tc>
        <w:tc>
          <w:tcPr>
            <w:tcW w:w="992" w:type="dxa"/>
            <w:vMerge w:val="continue"/>
            <w:noWrap w:val="0"/>
            <w:vAlign w:val="center"/>
          </w:tcPr>
          <w:p w14:paraId="7768D90E">
            <w:pPr>
              <w:spacing w:line="400" w:lineRule="exact"/>
              <w:jc w:val="left"/>
              <w:rPr>
                <w:color w:val="000000"/>
                <w:szCs w:val="21"/>
                <w:highlight w:val="none"/>
              </w:rPr>
            </w:pPr>
          </w:p>
        </w:tc>
        <w:tc>
          <w:tcPr>
            <w:tcW w:w="5775" w:type="dxa"/>
            <w:noWrap w:val="0"/>
            <w:vAlign w:val="center"/>
          </w:tcPr>
          <w:p w14:paraId="3770165E">
            <w:pPr>
              <w:spacing w:line="400" w:lineRule="exact"/>
              <w:rPr>
                <w:color w:val="000000"/>
                <w:szCs w:val="21"/>
                <w:highlight w:val="none"/>
              </w:rPr>
            </w:pPr>
            <w:r>
              <w:rPr>
                <w:rFonts w:hint="eastAsia"/>
                <w:color w:val="000000"/>
                <w:szCs w:val="21"/>
                <w:highlight w:val="none"/>
              </w:rPr>
              <w:t>关键线路基本准确，计划编制基本可行。</w:t>
            </w:r>
          </w:p>
        </w:tc>
        <w:tc>
          <w:tcPr>
            <w:tcW w:w="827" w:type="dxa"/>
            <w:noWrap w:val="0"/>
            <w:vAlign w:val="center"/>
          </w:tcPr>
          <w:p w14:paraId="25453A64">
            <w:pPr>
              <w:spacing w:line="400" w:lineRule="exact"/>
              <w:jc w:val="center"/>
              <w:rPr>
                <w:color w:val="000000"/>
                <w:szCs w:val="21"/>
                <w:highlight w:val="none"/>
              </w:rPr>
            </w:pPr>
            <w:r>
              <w:rPr>
                <w:color w:val="000000"/>
                <w:szCs w:val="21"/>
                <w:highlight w:val="none"/>
              </w:rPr>
              <w:t>0.5≤</w:t>
            </w:r>
            <w:r>
              <w:rPr>
                <w:rFonts w:hint="eastAsia"/>
                <w:color w:val="000000"/>
                <w:szCs w:val="21"/>
                <w:highlight w:val="none"/>
              </w:rPr>
              <w:t>得分</w:t>
            </w:r>
            <w:r>
              <w:rPr>
                <w:color w:val="000000"/>
                <w:szCs w:val="21"/>
                <w:highlight w:val="none"/>
              </w:rPr>
              <w:t>≤1</w:t>
            </w:r>
          </w:p>
        </w:tc>
      </w:tr>
      <w:tr w14:paraId="072C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1624BFE0">
            <w:pPr>
              <w:spacing w:line="400" w:lineRule="exact"/>
              <w:jc w:val="center"/>
              <w:rPr>
                <w:color w:val="000000"/>
                <w:szCs w:val="21"/>
                <w:highlight w:val="none"/>
              </w:rPr>
            </w:pPr>
            <w:r>
              <w:rPr>
                <w:color w:val="000000"/>
                <w:szCs w:val="21"/>
                <w:highlight w:val="none"/>
              </w:rPr>
              <w:t>9</w:t>
            </w:r>
          </w:p>
        </w:tc>
        <w:tc>
          <w:tcPr>
            <w:tcW w:w="1134" w:type="dxa"/>
            <w:vMerge w:val="restart"/>
            <w:noWrap w:val="0"/>
            <w:vAlign w:val="center"/>
          </w:tcPr>
          <w:p w14:paraId="5158EA99">
            <w:pPr>
              <w:spacing w:line="400" w:lineRule="exact"/>
              <w:jc w:val="left"/>
              <w:rPr>
                <w:color w:val="000000"/>
                <w:szCs w:val="21"/>
                <w:highlight w:val="none"/>
              </w:rPr>
            </w:pPr>
            <w:r>
              <w:rPr>
                <w:rFonts w:hint="eastAsia"/>
                <w:color w:val="000000"/>
                <w:szCs w:val="21"/>
                <w:highlight w:val="none"/>
              </w:rPr>
              <w:t>施工总平面图布置</w:t>
            </w:r>
          </w:p>
        </w:tc>
        <w:tc>
          <w:tcPr>
            <w:tcW w:w="992" w:type="dxa"/>
            <w:vMerge w:val="restart"/>
            <w:noWrap w:val="0"/>
            <w:vAlign w:val="center"/>
          </w:tcPr>
          <w:p w14:paraId="26C984D2">
            <w:pPr>
              <w:spacing w:line="400" w:lineRule="exact"/>
              <w:jc w:val="center"/>
              <w:rPr>
                <w:color w:val="000000"/>
                <w:szCs w:val="21"/>
                <w:highlight w:val="none"/>
              </w:rPr>
            </w:pPr>
            <w:r>
              <w:rPr>
                <w:color w:val="000000"/>
                <w:szCs w:val="21"/>
                <w:highlight w:val="none"/>
              </w:rPr>
              <w:t>0.5-1</w:t>
            </w:r>
            <w:r>
              <w:rPr>
                <w:rFonts w:hint="eastAsia"/>
                <w:color w:val="000000"/>
                <w:szCs w:val="21"/>
                <w:highlight w:val="none"/>
              </w:rPr>
              <w:t>分</w:t>
            </w:r>
          </w:p>
        </w:tc>
        <w:tc>
          <w:tcPr>
            <w:tcW w:w="5775" w:type="dxa"/>
            <w:noWrap w:val="0"/>
            <w:vAlign w:val="center"/>
          </w:tcPr>
          <w:p w14:paraId="5BE0D659">
            <w:pPr>
              <w:spacing w:line="400" w:lineRule="exact"/>
              <w:rPr>
                <w:color w:val="000000"/>
                <w:szCs w:val="21"/>
                <w:highlight w:val="none"/>
              </w:rPr>
            </w:pPr>
            <w:r>
              <w:rPr>
                <w:rFonts w:hint="eastAsia"/>
                <w:color w:val="000000"/>
                <w:szCs w:val="21"/>
                <w:highlight w:val="none"/>
              </w:rPr>
              <w:t>总体布置有针对性、合理、能较好满足施工需要，符合安全、文明施工要求；材料堆放有序。</w:t>
            </w:r>
          </w:p>
        </w:tc>
        <w:tc>
          <w:tcPr>
            <w:tcW w:w="827" w:type="dxa"/>
            <w:noWrap w:val="0"/>
            <w:vAlign w:val="center"/>
          </w:tcPr>
          <w:p w14:paraId="614F3023">
            <w:pPr>
              <w:spacing w:line="400" w:lineRule="exact"/>
              <w:jc w:val="center"/>
              <w:rPr>
                <w:color w:val="000000"/>
                <w:szCs w:val="21"/>
                <w:highlight w:val="none"/>
              </w:rPr>
            </w:pPr>
            <w:r>
              <w:rPr>
                <w:rFonts w:hint="eastAsia"/>
                <w:color w:val="000000"/>
                <w:szCs w:val="21"/>
                <w:highlight w:val="none"/>
              </w:rPr>
              <w:t>1</w:t>
            </w:r>
          </w:p>
        </w:tc>
      </w:tr>
      <w:tr w14:paraId="7995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33D49143">
            <w:pPr>
              <w:spacing w:line="400" w:lineRule="exact"/>
              <w:jc w:val="left"/>
              <w:rPr>
                <w:color w:val="000000"/>
                <w:szCs w:val="21"/>
                <w:highlight w:val="none"/>
              </w:rPr>
            </w:pPr>
          </w:p>
        </w:tc>
        <w:tc>
          <w:tcPr>
            <w:tcW w:w="1134" w:type="dxa"/>
            <w:vMerge w:val="continue"/>
            <w:noWrap w:val="0"/>
            <w:vAlign w:val="center"/>
          </w:tcPr>
          <w:p w14:paraId="625761B3">
            <w:pPr>
              <w:spacing w:line="400" w:lineRule="exact"/>
              <w:jc w:val="left"/>
              <w:rPr>
                <w:color w:val="000000"/>
                <w:szCs w:val="21"/>
                <w:highlight w:val="none"/>
              </w:rPr>
            </w:pPr>
          </w:p>
        </w:tc>
        <w:tc>
          <w:tcPr>
            <w:tcW w:w="992" w:type="dxa"/>
            <w:vMerge w:val="continue"/>
            <w:noWrap w:val="0"/>
            <w:vAlign w:val="center"/>
          </w:tcPr>
          <w:p w14:paraId="6634E20D">
            <w:pPr>
              <w:spacing w:line="400" w:lineRule="exact"/>
              <w:jc w:val="left"/>
              <w:rPr>
                <w:color w:val="000000"/>
                <w:szCs w:val="21"/>
                <w:highlight w:val="none"/>
              </w:rPr>
            </w:pPr>
          </w:p>
        </w:tc>
        <w:tc>
          <w:tcPr>
            <w:tcW w:w="5775" w:type="dxa"/>
            <w:noWrap w:val="0"/>
            <w:vAlign w:val="center"/>
          </w:tcPr>
          <w:p w14:paraId="48810A26">
            <w:pPr>
              <w:spacing w:line="400" w:lineRule="exact"/>
              <w:rPr>
                <w:color w:val="000000"/>
                <w:szCs w:val="21"/>
                <w:highlight w:val="none"/>
              </w:rPr>
            </w:pPr>
            <w:r>
              <w:rPr>
                <w:rFonts w:hint="eastAsia"/>
                <w:color w:val="000000"/>
                <w:szCs w:val="21"/>
                <w:highlight w:val="none"/>
              </w:rPr>
              <w:t>总体布置基本合理、基本满足施工需要。</w:t>
            </w:r>
          </w:p>
        </w:tc>
        <w:tc>
          <w:tcPr>
            <w:tcW w:w="827" w:type="dxa"/>
            <w:noWrap w:val="0"/>
            <w:vAlign w:val="center"/>
          </w:tcPr>
          <w:p w14:paraId="3896B1C1">
            <w:pPr>
              <w:spacing w:line="400" w:lineRule="exact"/>
              <w:jc w:val="center"/>
              <w:rPr>
                <w:color w:val="000000"/>
                <w:szCs w:val="21"/>
                <w:highlight w:val="none"/>
              </w:rPr>
            </w:pPr>
            <w:r>
              <w:rPr>
                <w:color w:val="000000"/>
                <w:szCs w:val="21"/>
                <w:highlight w:val="none"/>
              </w:rPr>
              <w:t>0.5</w:t>
            </w:r>
          </w:p>
        </w:tc>
      </w:tr>
      <w:tr w14:paraId="5BA3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3DAEB7E1">
            <w:pPr>
              <w:spacing w:line="400" w:lineRule="exact"/>
              <w:jc w:val="center"/>
              <w:rPr>
                <w:color w:val="000000"/>
                <w:szCs w:val="21"/>
                <w:highlight w:val="none"/>
              </w:rPr>
            </w:pPr>
            <w:r>
              <w:rPr>
                <w:color w:val="000000"/>
                <w:szCs w:val="21"/>
                <w:highlight w:val="none"/>
              </w:rPr>
              <w:t>10</w:t>
            </w:r>
          </w:p>
        </w:tc>
        <w:tc>
          <w:tcPr>
            <w:tcW w:w="1134" w:type="dxa"/>
            <w:vMerge w:val="restart"/>
            <w:noWrap w:val="0"/>
            <w:vAlign w:val="center"/>
          </w:tcPr>
          <w:p w14:paraId="4AD8B340">
            <w:pPr>
              <w:spacing w:line="400" w:lineRule="exact"/>
              <w:jc w:val="left"/>
              <w:rPr>
                <w:color w:val="000000"/>
                <w:szCs w:val="21"/>
                <w:highlight w:val="none"/>
              </w:rPr>
            </w:pPr>
            <w:r>
              <w:rPr>
                <w:rFonts w:hint="eastAsia"/>
                <w:color w:val="000000"/>
                <w:szCs w:val="21"/>
                <w:highlight w:val="none"/>
              </w:rPr>
              <w:t>技术创新的应用实施措施</w:t>
            </w:r>
          </w:p>
        </w:tc>
        <w:tc>
          <w:tcPr>
            <w:tcW w:w="992" w:type="dxa"/>
            <w:vMerge w:val="restart"/>
            <w:noWrap w:val="0"/>
            <w:vAlign w:val="center"/>
          </w:tcPr>
          <w:p w14:paraId="205E851C">
            <w:pPr>
              <w:spacing w:line="400" w:lineRule="exact"/>
              <w:jc w:val="center"/>
              <w:rPr>
                <w:color w:val="000000"/>
                <w:szCs w:val="21"/>
                <w:highlight w:val="none"/>
              </w:rPr>
            </w:pPr>
            <w:r>
              <w:rPr>
                <w:color w:val="000000"/>
                <w:szCs w:val="21"/>
                <w:highlight w:val="none"/>
              </w:rPr>
              <w:t>1-2</w:t>
            </w:r>
            <w:r>
              <w:rPr>
                <w:rFonts w:hint="eastAsia"/>
                <w:color w:val="000000"/>
                <w:szCs w:val="21"/>
                <w:highlight w:val="none"/>
              </w:rPr>
              <w:t>分</w:t>
            </w:r>
          </w:p>
        </w:tc>
        <w:tc>
          <w:tcPr>
            <w:tcW w:w="5775" w:type="dxa"/>
            <w:noWrap w:val="0"/>
            <w:vAlign w:val="center"/>
          </w:tcPr>
          <w:p w14:paraId="09C6C25E">
            <w:pPr>
              <w:spacing w:line="400" w:lineRule="exact"/>
              <w:rPr>
                <w:color w:val="000000"/>
                <w:szCs w:val="21"/>
                <w:highlight w:val="none"/>
              </w:rPr>
            </w:pPr>
            <w:r>
              <w:rPr>
                <w:rFonts w:hint="eastAsia"/>
                <w:color w:val="000000"/>
                <w:szCs w:val="21"/>
                <w:highlight w:val="none"/>
              </w:rPr>
              <w:t>（</w:t>
            </w:r>
            <w:r>
              <w:rPr>
                <w:color w:val="000000"/>
                <w:szCs w:val="21"/>
                <w:highlight w:val="none"/>
              </w:rPr>
              <w:t>1</w:t>
            </w:r>
            <w:r>
              <w:rPr>
                <w:rFonts w:hint="eastAsia"/>
                <w:color w:val="000000"/>
                <w:szCs w:val="21"/>
                <w:highlight w:val="none"/>
              </w:rPr>
              <w:t>）节能减排、（</w:t>
            </w:r>
            <w:r>
              <w:rPr>
                <w:color w:val="000000"/>
                <w:szCs w:val="21"/>
                <w:highlight w:val="none"/>
              </w:rPr>
              <w:t>2</w:t>
            </w:r>
            <w:r>
              <w:rPr>
                <w:rFonts w:hint="eastAsia"/>
                <w:color w:val="000000"/>
                <w:szCs w:val="21"/>
                <w:highlight w:val="none"/>
              </w:rPr>
              <w:t>）绿色施工、（</w:t>
            </w:r>
            <w:r>
              <w:rPr>
                <w:color w:val="000000"/>
                <w:szCs w:val="21"/>
                <w:highlight w:val="none"/>
              </w:rPr>
              <w:t>3</w:t>
            </w:r>
            <w:r>
              <w:rPr>
                <w:rFonts w:hint="eastAsia"/>
                <w:color w:val="000000"/>
                <w:szCs w:val="21"/>
                <w:highlight w:val="none"/>
              </w:rPr>
              <w:t>）工艺创新、（</w:t>
            </w:r>
            <w:r>
              <w:rPr>
                <w:color w:val="000000"/>
                <w:szCs w:val="21"/>
                <w:highlight w:val="none"/>
              </w:rPr>
              <w:t>4</w:t>
            </w:r>
            <w:r>
              <w:rPr>
                <w:rFonts w:hint="eastAsia"/>
                <w:color w:val="000000"/>
                <w:szCs w:val="21"/>
                <w:highlight w:val="none"/>
              </w:rPr>
              <w:t>）装配式建筑等技术创新的应用实施措施符合工程情况，具有针对性、可行性、经济适用性。</w:t>
            </w:r>
          </w:p>
        </w:tc>
        <w:tc>
          <w:tcPr>
            <w:tcW w:w="827" w:type="dxa"/>
            <w:noWrap w:val="0"/>
            <w:vAlign w:val="center"/>
          </w:tcPr>
          <w:p w14:paraId="7C113B42">
            <w:pPr>
              <w:spacing w:line="400" w:lineRule="exact"/>
              <w:jc w:val="center"/>
              <w:rPr>
                <w:color w:val="000000"/>
                <w:szCs w:val="21"/>
                <w:highlight w:val="none"/>
              </w:rPr>
            </w:pPr>
            <w:r>
              <w:rPr>
                <w:color w:val="000000"/>
                <w:szCs w:val="21"/>
                <w:highlight w:val="none"/>
              </w:rPr>
              <w:t>1.5</w:t>
            </w:r>
            <w:r>
              <w:rPr>
                <w:rFonts w:hint="eastAsia"/>
                <w:color w:val="000000"/>
                <w:szCs w:val="21"/>
                <w:highlight w:val="none"/>
              </w:rPr>
              <w:t>＜得分</w:t>
            </w:r>
            <w:r>
              <w:rPr>
                <w:color w:val="000000"/>
                <w:szCs w:val="21"/>
                <w:highlight w:val="none"/>
              </w:rPr>
              <w:t>≤2</w:t>
            </w:r>
          </w:p>
        </w:tc>
      </w:tr>
      <w:tr w14:paraId="1E48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6E222919">
            <w:pPr>
              <w:spacing w:line="400" w:lineRule="exact"/>
              <w:jc w:val="left"/>
              <w:rPr>
                <w:color w:val="000000"/>
                <w:szCs w:val="21"/>
                <w:highlight w:val="none"/>
              </w:rPr>
            </w:pPr>
          </w:p>
        </w:tc>
        <w:tc>
          <w:tcPr>
            <w:tcW w:w="1134" w:type="dxa"/>
            <w:vMerge w:val="continue"/>
            <w:noWrap w:val="0"/>
            <w:vAlign w:val="center"/>
          </w:tcPr>
          <w:p w14:paraId="425B5458">
            <w:pPr>
              <w:spacing w:line="400" w:lineRule="exact"/>
              <w:jc w:val="left"/>
              <w:rPr>
                <w:color w:val="000000"/>
                <w:szCs w:val="21"/>
                <w:highlight w:val="none"/>
              </w:rPr>
            </w:pPr>
          </w:p>
        </w:tc>
        <w:tc>
          <w:tcPr>
            <w:tcW w:w="992" w:type="dxa"/>
            <w:vMerge w:val="continue"/>
            <w:noWrap w:val="0"/>
            <w:vAlign w:val="center"/>
          </w:tcPr>
          <w:p w14:paraId="4A161CDA">
            <w:pPr>
              <w:spacing w:line="400" w:lineRule="exact"/>
              <w:jc w:val="left"/>
              <w:rPr>
                <w:color w:val="000000"/>
                <w:szCs w:val="21"/>
                <w:highlight w:val="none"/>
              </w:rPr>
            </w:pPr>
          </w:p>
        </w:tc>
        <w:tc>
          <w:tcPr>
            <w:tcW w:w="5775" w:type="dxa"/>
            <w:noWrap w:val="0"/>
            <w:vAlign w:val="center"/>
          </w:tcPr>
          <w:p w14:paraId="006B3EBC">
            <w:pPr>
              <w:spacing w:line="400" w:lineRule="exact"/>
              <w:rPr>
                <w:color w:val="000000"/>
                <w:szCs w:val="21"/>
                <w:highlight w:val="none"/>
              </w:rPr>
            </w:pPr>
            <w:r>
              <w:rPr>
                <w:rFonts w:hint="eastAsia"/>
                <w:color w:val="000000"/>
                <w:spacing w:val="-8"/>
                <w:szCs w:val="21"/>
                <w:highlight w:val="none"/>
              </w:rPr>
              <w:t>（</w:t>
            </w:r>
            <w:r>
              <w:rPr>
                <w:color w:val="000000"/>
                <w:spacing w:val="-8"/>
                <w:szCs w:val="21"/>
                <w:highlight w:val="none"/>
              </w:rPr>
              <w:t>1</w:t>
            </w:r>
            <w:r>
              <w:rPr>
                <w:rFonts w:hint="eastAsia"/>
                <w:color w:val="000000"/>
                <w:spacing w:val="-8"/>
                <w:szCs w:val="21"/>
                <w:highlight w:val="none"/>
              </w:rPr>
              <w:t>）节能减排、（</w:t>
            </w:r>
            <w:r>
              <w:rPr>
                <w:color w:val="000000"/>
                <w:spacing w:val="-8"/>
                <w:szCs w:val="21"/>
                <w:highlight w:val="none"/>
              </w:rPr>
              <w:t>2</w:t>
            </w:r>
            <w:r>
              <w:rPr>
                <w:rFonts w:hint="eastAsia"/>
                <w:color w:val="000000"/>
                <w:spacing w:val="-8"/>
                <w:szCs w:val="21"/>
                <w:highlight w:val="none"/>
              </w:rPr>
              <w:t>）绿色施工、（</w:t>
            </w:r>
            <w:r>
              <w:rPr>
                <w:color w:val="000000"/>
                <w:spacing w:val="-8"/>
                <w:szCs w:val="21"/>
                <w:highlight w:val="none"/>
              </w:rPr>
              <w:t>3</w:t>
            </w:r>
            <w:r>
              <w:rPr>
                <w:rFonts w:hint="eastAsia"/>
                <w:color w:val="000000"/>
                <w:spacing w:val="-8"/>
                <w:szCs w:val="21"/>
                <w:highlight w:val="none"/>
              </w:rPr>
              <w:t>）工艺创新、（</w:t>
            </w:r>
            <w:r>
              <w:rPr>
                <w:color w:val="000000"/>
                <w:spacing w:val="-8"/>
                <w:szCs w:val="21"/>
                <w:highlight w:val="none"/>
              </w:rPr>
              <w:t>4</w:t>
            </w:r>
            <w:r>
              <w:rPr>
                <w:rFonts w:hint="eastAsia"/>
                <w:color w:val="000000"/>
                <w:spacing w:val="-8"/>
                <w:szCs w:val="21"/>
                <w:highlight w:val="none"/>
              </w:rPr>
              <w:t>）装配式建筑等技术创新的应用实施措施基本符合工程情况，具有针</w:t>
            </w:r>
            <w:r>
              <w:rPr>
                <w:rFonts w:hint="eastAsia"/>
                <w:color w:val="000000"/>
                <w:szCs w:val="21"/>
                <w:highlight w:val="none"/>
              </w:rPr>
              <w:t>对性。</w:t>
            </w:r>
          </w:p>
        </w:tc>
        <w:tc>
          <w:tcPr>
            <w:tcW w:w="827" w:type="dxa"/>
            <w:noWrap w:val="0"/>
            <w:vAlign w:val="center"/>
          </w:tcPr>
          <w:p w14:paraId="2192AC03">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≤1.5</w:t>
            </w:r>
          </w:p>
        </w:tc>
      </w:tr>
      <w:tr w14:paraId="5B70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24" w:type="dxa"/>
            <w:vMerge w:val="restart"/>
            <w:noWrap w:val="0"/>
            <w:vAlign w:val="center"/>
          </w:tcPr>
          <w:p w14:paraId="4B0F01CD">
            <w:pPr>
              <w:spacing w:line="400" w:lineRule="exact"/>
              <w:jc w:val="center"/>
              <w:rPr>
                <w:color w:val="000000"/>
                <w:szCs w:val="21"/>
                <w:highlight w:val="none"/>
              </w:rPr>
            </w:pPr>
            <w:r>
              <w:rPr>
                <w:color w:val="000000"/>
                <w:szCs w:val="21"/>
                <w:highlight w:val="none"/>
              </w:rPr>
              <w:t>11</w:t>
            </w:r>
          </w:p>
        </w:tc>
        <w:tc>
          <w:tcPr>
            <w:tcW w:w="1134" w:type="dxa"/>
            <w:vMerge w:val="restart"/>
            <w:noWrap w:val="0"/>
            <w:vAlign w:val="center"/>
          </w:tcPr>
          <w:p w14:paraId="3CAD3FC7">
            <w:pPr>
              <w:spacing w:line="400" w:lineRule="exact"/>
              <w:jc w:val="center"/>
              <w:rPr>
                <w:color w:val="000000"/>
                <w:szCs w:val="21"/>
                <w:highlight w:val="none"/>
              </w:rPr>
            </w:pPr>
            <w:r>
              <w:rPr>
                <w:rFonts w:hint="eastAsia"/>
                <w:color w:val="000000"/>
                <w:szCs w:val="21"/>
                <w:highlight w:val="none"/>
              </w:rPr>
              <w:t>采用新工艺、新技术、新设备、新材料、</w:t>
            </w:r>
            <w:r>
              <w:rPr>
                <w:color w:val="000000"/>
                <w:szCs w:val="21"/>
                <w:highlight w:val="none"/>
              </w:rPr>
              <w:t>BIM</w:t>
            </w:r>
            <w:r>
              <w:rPr>
                <w:rFonts w:hint="eastAsia"/>
                <w:color w:val="000000"/>
                <w:szCs w:val="21"/>
                <w:highlight w:val="none"/>
              </w:rPr>
              <w:t>等的程度</w:t>
            </w:r>
          </w:p>
        </w:tc>
        <w:tc>
          <w:tcPr>
            <w:tcW w:w="992" w:type="dxa"/>
            <w:vMerge w:val="restart"/>
            <w:noWrap w:val="0"/>
            <w:vAlign w:val="center"/>
          </w:tcPr>
          <w:p w14:paraId="054D0365">
            <w:pPr>
              <w:spacing w:line="400" w:lineRule="exact"/>
              <w:jc w:val="center"/>
              <w:rPr>
                <w:color w:val="000000"/>
                <w:szCs w:val="21"/>
                <w:highlight w:val="none"/>
              </w:rPr>
            </w:pPr>
            <w:r>
              <w:rPr>
                <w:color w:val="000000"/>
                <w:szCs w:val="21"/>
                <w:highlight w:val="none"/>
              </w:rPr>
              <w:t>1-2</w:t>
            </w:r>
            <w:r>
              <w:rPr>
                <w:rFonts w:hint="eastAsia"/>
                <w:color w:val="000000"/>
                <w:szCs w:val="21"/>
                <w:highlight w:val="none"/>
              </w:rPr>
              <w:t>分</w:t>
            </w:r>
          </w:p>
        </w:tc>
        <w:tc>
          <w:tcPr>
            <w:tcW w:w="5775" w:type="dxa"/>
            <w:noWrap w:val="0"/>
            <w:vAlign w:val="center"/>
          </w:tcPr>
          <w:p w14:paraId="331B052A">
            <w:pPr>
              <w:spacing w:line="400" w:lineRule="exact"/>
              <w:rPr>
                <w:color w:val="000000"/>
                <w:szCs w:val="21"/>
                <w:highlight w:val="none"/>
              </w:rPr>
            </w:pPr>
            <w:r>
              <w:rPr>
                <w:rFonts w:hint="eastAsia"/>
                <w:color w:val="000000"/>
                <w:szCs w:val="21"/>
                <w:highlight w:val="none"/>
              </w:rPr>
              <w:t>采用新工艺、新技术、新设备、新材料、</w:t>
            </w:r>
            <w:r>
              <w:rPr>
                <w:color w:val="000000"/>
                <w:szCs w:val="21"/>
                <w:highlight w:val="none"/>
              </w:rPr>
              <w:t>BIM</w:t>
            </w:r>
            <w:r>
              <w:rPr>
                <w:rFonts w:hint="eastAsia"/>
                <w:color w:val="000000"/>
                <w:szCs w:val="21"/>
                <w:highlight w:val="none"/>
              </w:rPr>
              <w:t>等的程度满足设计要求，符合施工需要和相应技术标准等规定，经济适用。</w:t>
            </w:r>
          </w:p>
        </w:tc>
        <w:tc>
          <w:tcPr>
            <w:tcW w:w="827" w:type="dxa"/>
            <w:noWrap w:val="0"/>
            <w:vAlign w:val="center"/>
          </w:tcPr>
          <w:p w14:paraId="4817DC62">
            <w:pPr>
              <w:spacing w:line="400" w:lineRule="exact"/>
              <w:jc w:val="center"/>
              <w:rPr>
                <w:color w:val="000000"/>
                <w:szCs w:val="21"/>
                <w:highlight w:val="none"/>
              </w:rPr>
            </w:pPr>
            <w:r>
              <w:rPr>
                <w:color w:val="000000"/>
                <w:szCs w:val="21"/>
                <w:highlight w:val="none"/>
              </w:rPr>
              <w:t>1.5≤</w:t>
            </w:r>
            <w:r>
              <w:rPr>
                <w:rFonts w:hint="eastAsia"/>
                <w:color w:val="000000"/>
                <w:szCs w:val="21"/>
                <w:highlight w:val="none"/>
              </w:rPr>
              <w:t>得分</w:t>
            </w:r>
            <w:r>
              <w:rPr>
                <w:color w:val="000000"/>
                <w:szCs w:val="21"/>
                <w:highlight w:val="none"/>
              </w:rPr>
              <w:t>≤2</w:t>
            </w:r>
          </w:p>
        </w:tc>
      </w:tr>
      <w:tr w14:paraId="0D1F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552813A0">
            <w:pPr>
              <w:spacing w:line="400" w:lineRule="exact"/>
              <w:jc w:val="left"/>
              <w:rPr>
                <w:color w:val="000000"/>
                <w:szCs w:val="21"/>
                <w:highlight w:val="none"/>
              </w:rPr>
            </w:pPr>
          </w:p>
        </w:tc>
        <w:tc>
          <w:tcPr>
            <w:tcW w:w="1134" w:type="dxa"/>
            <w:vMerge w:val="continue"/>
            <w:noWrap w:val="0"/>
            <w:vAlign w:val="center"/>
          </w:tcPr>
          <w:p w14:paraId="7075C510">
            <w:pPr>
              <w:spacing w:line="400" w:lineRule="exact"/>
              <w:jc w:val="left"/>
              <w:rPr>
                <w:color w:val="000000"/>
                <w:szCs w:val="21"/>
                <w:highlight w:val="none"/>
              </w:rPr>
            </w:pPr>
          </w:p>
        </w:tc>
        <w:tc>
          <w:tcPr>
            <w:tcW w:w="992" w:type="dxa"/>
            <w:vMerge w:val="continue"/>
            <w:noWrap w:val="0"/>
            <w:vAlign w:val="center"/>
          </w:tcPr>
          <w:p w14:paraId="3005A5F8">
            <w:pPr>
              <w:spacing w:line="400" w:lineRule="exact"/>
              <w:jc w:val="left"/>
              <w:rPr>
                <w:color w:val="000000"/>
                <w:szCs w:val="21"/>
                <w:highlight w:val="none"/>
              </w:rPr>
            </w:pPr>
          </w:p>
        </w:tc>
        <w:tc>
          <w:tcPr>
            <w:tcW w:w="5775" w:type="dxa"/>
            <w:noWrap w:val="0"/>
            <w:vAlign w:val="center"/>
          </w:tcPr>
          <w:p w14:paraId="51CAA1FA">
            <w:pPr>
              <w:spacing w:line="400" w:lineRule="exact"/>
              <w:rPr>
                <w:color w:val="000000"/>
                <w:szCs w:val="21"/>
                <w:highlight w:val="none"/>
              </w:rPr>
            </w:pPr>
            <w:r>
              <w:rPr>
                <w:rFonts w:hint="eastAsia"/>
                <w:color w:val="000000"/>
                <w:szCs w:val="21"/>
                <w:highlight w:val="none"/>
              </w:rPr>
              <w:t>采用新工艺、新技术、新设备、新材料、</w:t>
            </w:r>
            <w:r>
              <w:rPr>
                <w:color w:val="000000"/>
                <w:szCs w:val="21"/>
                <w:highlight w:val="none"/>
              </w:rPr>
              <w:t>BIM</w:t>
            </w:r>
            <w:r>
              <w:rPr>
                <w:rFonts w:hint="eastAsia"/>
                <w:color w:val="000000"/>
                <w:szCs w:val="21"/>
                <w:highlight w:val="none"/>
              </w:rPr>
              <w:t>等的程度满足设计要求，</w:t>
            </w:r>
            <w:r>
              <w:rPr>
                <w:color w:val="000000"/>
                <w:szCs w:val="21"/>
                <w:highlight w:val="none"/>
              </w:rPr>
              <w:t xml:space="preserve"> </w:t>
            </w:r>
            <w:r>
              <w:rPr>
                <w:rFonts w:hint="eastAsia"/>
                <w:color w:val="000000"/>
                <w:szCs w:val="21"/>
                <w:highlight w:val="none"/>
              </w:rPr>
              <w:t>基本符合施工要求和相应技术标准等规定。</w:t>
            </w:r>
          </w:p>
        </w:tc>
        <w:tc>
          <w:tcPr>
            <w:tcW w:w="827" w:type="dxa"/>
            <w:noWrap w:val="0"/>
            <w:vAlign w:val="center"/>
          </w:tcPr>
          <w:p w14:paraId="528796CC">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≤1.5</w:t>
            </w:r>
          </w:p>
        </w:tc>
      </w:tr>
      <w:tr w14:paraId="7805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6745F89A">
            <w:pPr>
              <w:spacing w:line="400" w:lineRule="exact"/>
              <w:jc w:val="center"/>
              <w:rPr>
                <w:color w:val="000000"/>
                <w:szCs w:val="21"/>
                <w:highlight w:val="none"/>
              </w:rPr>
            </w:pPr>
            <w:r>
              <w:rPr>
                <w:color w:val="000000"/>
                <w:szCs w:val="21"/>
                <w:highlight w:val="none"/>
              </w:rPr>
              <w:t>12</w:t>
            </w:r>
          </w:p>
        </w:tc>
        <w:tc>
          <w:tcPr>
            <w:tcW w:w="1134" w:type="dxa"/>
            <w:vMerge w:val="restart"/>
            <w:noWrap w:val="0"/>
            <w:vAlign w:val="center"/>
          </w:tcPr>
          <w:p w14:paraId="1A8BEE97">
            <w:pPr>
              <w:spacing w:line="400" w:lineRule="exact"/>
              <w:jc w:val="center"/>
              <w:rPr>
                <w:color w:val="000000"/>
                <w:szCs w:val="21"/>
                <w:highlight w:val="none"/>
              </w:rPr>
            </w:pPr>
            <w:r>
              <w:rPr>
                <w:rFonts w:hint="eastAsia"/>
                <w:color w:val="000000"/>
                <w:szCs w:val="21"/>
                <w:highlight w:val="none"/>
              </w:rPr>
              <w:t>施工现场实施信息化监控和数据处理</w:t>
            </w:r>
          </w:p>
        </w:tc>
        <w:tc>
          <w:tcPr>
            <w:tcW w:w="992" w:type="dxa"/>
            <w:vMerge w:val="restart"/>
            <w:noWrap w:val="0"/>
            <w:vAlign w:val="center"/>
          </w:tcPr>
          <w:p w14:paraId="60A30D66">
            <w:pPr>
              <w:spacing w:line="400" w:lineRule="exact"/>
              <w:jc w:val="center"/>
              <w:rPr>
                <w:color w:val="000000"/>
                <w:szCs w:val="21"/>
                <w:highlight w:val="none"/>
              </w:rPr>
            </w:pPr>
            <w:r>
              <w:rPr>
                <w:color w:val="000000"/>
                <w:szCs w:val="21"/>
                <w:highlight w:val="none"/>
              </w:rPr>
              <w:t>0.5-1.5</w:t>
            </w:r>
            <w:r>
              <w:rPr>
                <w:rFonts w:hint="eastAsia"/>
                <w:color w:val="000000"/>
                <w:szCs w:val="21"/>
                <w:highlight w:val="none"/>
              </w:rPr>
              <w:t>分</w:t>
            </w:r>
          </w:p>
        </w:tc>
        <w:tc>
          <w:tcPr>
            <w:tcW w:w="5775" w:type="dxa"/>
            <w:noWrap w:val="0"/>
            <w:vAlign w:val="center"/>
          </w:tcPr>
          <w:p w14:paraId="30DF9926">
            <w:pPr>
              <w:spacing w:line="400" w:lineRule="exact"/>
              <w:rPr>
                <w:color w:val="000000"/>
                <w:szCs w:val="21"/>
                <w:highlight w:val="none"/>
              </w:rPr>
            </w:pPr>
            <w:r>
              <w:rPr>
                <w:rFonts w:hint="eastAsia"/>
                <w:color w:val="000000"/>
                <w:szCs w:val="21"/>
                <w:highlight w:val="none"/>
              </w:rPr>
              <w:t>施工现场实施信息化监控和数据处理系统布置合理，满足需要。</w:t>
            </w:r>
          </w:p>
        </w:tc>
        <w:tc>
          <w:tcPr>
            <w:tcW w:w="827" w:type="dxa"/>
            <w:noWrap w:val="0"/>
            <w:vAlign w:val="center"/>
          </w:tcPr>
          <w:p w14:paraId="1697A674">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≤1.5</w:t>
            </w:r>
          </w:p>
        </w:tc>
      </w:tr>
      <w:tr w14:paraId="273C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139A14D3">
            <w:pPr>
              <w:spacing w:line="400" w:lineRule="exact"/>
              <w:jc w:val="left"/>
              <w:rPr>
                <w:color w:val="000000"/>
                <w:szCs w:val="21"/>
                <w:highlight w:val="none"/>
              </w:rPr>
            </w:pPr>
          </w:p>
        </w:tc>
        <w:tc>
          <w:tcPr>
            <w:tcW w:w="1134" w:type="dxa"/>
            <w:vMerge w:val="continue"/>
            <w:noWrap w:val="0"/>
            <w:vAlign w:val="center"/>
          </w:tcPr>
          <w:p w14:paraId="40E99D8B">
            <w:pPr>
              <w:spacing w:line="400" w:lineRule="exact"/>
              <w:jc w:val="left"/>
              <w:rPr>
                <w:color w:val="000000"/>
                <w:szCs w:val="21"/>
                <w:highlight w:val="none"/>
              </w:rPr>
            </w:pPr>
          </w:p>
        </w:tc>
        <w:tc>
          <w:tcPr>
            <w:tcW w:w="992" w:type="dxa"/>
            <w:vMerge w:val="continue"/>
            <w:noWrap w:val="0"/>
            <w:vAlign w:val="center"/>
          </w:tcPr>
          <w:p w14:paraId="7B27681F">
            <w:pPr>
              <w:spacing w:line="400" w:lineRule="exact"/>
              <w:jc w:val="left"/>
              <w:rPr>
                <w:color w:val="000000"/>
                <w:szCs w:val="21"/>
                <w:highlight w:val="none"/>
              </w:rPr>
            </w:pPr>
          </w:p>
        </w:tc>
        <w:tc>
          <w:tcPr>
            <w:tcW w:w="5775" w:type="dxa"/>
            <w:noWrap w:val="0"/>
            <w:vAlign w:val="center"/>
          </w:tcPr>
          <w:p w14:paraId="42EAF4D5">
            <w:pPr>
              <w:spacing w:line="400" w:lineRule="exact"/>
              <w:rPr>
                <w:color w:val="000000"/>
                <w:szCs w:val="21"/>
                <w:highlight w:val="none"/>
              </w:rPr>
            </w:pPr>
            <w:r>
              <w:rPr>
                <w:rFonts w:hint="eastAsia"/>
                <w:color w:val="000000"/>
                <w:szCs w:val="21"/>
                <w:highlight w:val="none"/>
              </w:rPr>
              <w:t>施工现场实施信息化监控和数据处理系统布置基本符合需要。</w:t>
            </w:r>
          </w:p>
        </w:tc>
        <w:tc>
          <w:tcPr>
            <w:tcW w:w="827" w:type="dxa"/>
            <w:noWrap w:val="0"/>
            <w:vAlign w:val="center"/>
          </w:tcPr>
          <w:p w14:paraId="7D14FE9E">
            <w:pPr>
              <w:spacing w:line="400" w:lineRule="exact"/>
              <w:jc w:val="center"/>
              <w:rPr>
                <w:color w:val="000000"/>
                <w:szCs w:val="21"/>
                <w:highlight w:val="none"/>
              </w:rPr>
            </w:pPr>
            <w:r>
              <w:rPr>
                <w:color w:val="000000"/>
                <w:szCs w:val="21"/>
                <w:highlight w:val="none"/>
              </w:rPr>
              <w:t>0.5</w:t>
            </w:r>
            <w:r>
              <w:rPr>
                <w:rFonts w:hint="eastAsia"/>
                <w:color w:val="000000"/>
                <w:szCs w:val="21"/>
                <w:highlight w:val="none"/>
              </w:rPr>
              <w:t>＜得分</w:t>
            </w:r>
            <w:r>
              <w:rPr>
                <w:color w:val="000000"/>
                <w:szCs w:val="21"/>
                <w:highlight w:val="none"/>
              </w:rPr>
              <w:t xml:space="preserve">≤1 </w:t>
            </w:r>
          </w:p>
        </w:tc>
      </w:tr>
      <w:tr w14:paraId="70AC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noWrap w:val="0"/>
            <w:vAlign w:val="center"/>
          </w:tcPr>
          <w:p w14:paraId="52CC093C">
            <w:pPr>
              <w:spacing w:line="400" w:lineRule="exact"/>
              <w:jc w:val="center"/>
              <w:rPr>
                <w:color w:val="000000"/>
                <w:szCs w:val="21"/>
                <w:highlight w:val="none"/>
              </w:rPr>
            </w:pPr>
            <w:r>
              <w:rPr>
                <w:color w:val="000000"/>
                <w:szCs w:val="21"/>
                <w:highlight w:val="none"/>
              </w:rPr>
              <w:t>13</w:t>
            </w:r>
          </w:p>
        </w:tc>
        <w:tc>
          <w:tcPr>
            <w:tcW w:w="1134" w:type="dxa"/>
            <w:vMerge w:val="restart"/>
            <w:noWrap w:val="0"/>
            <w:vAlign w:val="center"/>
          </w:tcPr>
          <w:p w14:paraId="4F9CC094">
            <w:pPr>
              <w:spacing w:line="400" w:lineRule="exact"/>
              <w:jc w:val="center"/>
              <w:rPr>
                <w:color w:val="000000"/>
                <w:szCs w:val="21"/>
                <w:highlight w:val="none"/>
              </w:rPr>
            </w:pPr>
            <w:r>
              <w:rPr>
                <w:rFonts w:hint="eastAsia"/>
                <w:color w:val="000000"/>
                <w:szCs w:val="21"/>
                <w:highlight w:val="none"/>
              </w:rPr>
              <w:t>风险管理措施</w:t>
            </w:r>
          </w:p>
        </w:tc>
        <w:tc>
          <w:tcPr>
            <w:tcW w:w="992" w:type="dxa"/>
            <w:vMerge w:val="restart"/>
            <w:noWrap w:val="0"/>
            <w:vAlign w:val="center"/>
          </w:tcPr>
          <w:p w14:paraId="75EBF797">
            <w:pPr>
              <w:spacing w:line="400" w:lineRule="exact"/>
              <w:jc w:val="center"/>
              <w:rPr>
                <w:color w:val="000000"/>
                <w:szCs w:val="21"/>
                <w:highlight w:val="none"/>
              </w:rPr>
            </w:pPr>
            <w:r>
              <w:rPr>
                <w:color w:val="000000"/>
                <w:szCs w:val="21"/>
                <w:highlight w:val="none"/>
              </w:rPr>
              <w:t>1-2</w:t>
            </w:r>
            <w:r>
              <w:rPr>
                <w:rFonts w:hint="eastAsia"/>
                <w:color w:val="000000"/>
                <w:szCs w:val="21"/>
                <w:highlight w:val="none"/>
              </w:rPr>
              <w:t>分</w:t>
            </w:r>
          </w:p>
        </w:tc>
        <w:tc>
          <w:tcPr>
            <w:tcW w:w="5775" w:type="dxa"/>
            <w:noWrap w:val="0"/>
            <w:vAlign w:val="center"/>
          </w:tcPr>
          <w:p w14:paraId="1FC3BBBE">
            <w:pPr>
              <w:spacing w:line="400" w:lineRule="exact"/>
              <w:rPr>
                <w:color w:val="000000"/>
                <w:szCs w:val="21"/>
                <w:highlight w:val="none"/>
              </w:rPr>
            </w:pPr>
            <w:r>
              <w:rPr>
                <w:rFonts w:hint="eastAsia"/>
                <w:color w:val="000000"/>
                <w:szCs w:val="21"/>
                <w:highlight w:val="none"/>
              </w:rPr>
              <w:t>风险防控管理措施齐全，风险预控符合规范要求，风险控制要点定位准确，各阶段风险控制及应急措施得力。</w:t>
            </w:r>
          </w:p>
        </w:tc>
        <w:tc>
          <w:tcPr>
            <w:tcW w:w="827" w:type="dxa"/>
            <w:noWrap w:val="0"/>
            <w:vAlign w:val="center"/>
          </w:tcPr>
          <w:p w14:paraId="7C9AA446">
            <w:pPr>
              <w:spacing w:line="400" w:lineRule="exact"/>
              <w:jc w:val="center"/>
              <w:rPr>
                <w:color w:val="000000"/>
                <w:szCs w:val="21"/>
                <w:highlight w:val="none"/>
              </w:rPr>
            </w:pPr>
            <w:r>
              <w:rPr>
                <w:color w:val="000000"/>
                <w:szCs w:val="21"/>
                <w:highlight w:val="none"/>
              </w:rPr>
              <w:t>1.5</w:t>
            </w:r>
            <w:r>
              <w:rPr>
                <w:rFonts w:hint="eastAsia"/>
                <w:color w:val="000000"/>
                <w:szCs w:val="21"/>
                <w:highlight w:val="none"/>
              </w:rPr>
              <w:t>＜得分</w:t>
            </w:r>
            <w:r>
              <w:rPr>
                <w:color w:val="000000"/>
                <w:szCs w:val="21"/>
                <w:highlight w:val="none"/>
              </w:rPr>
              <w:t>≤2</w:t>
            </w:r>
          </w:p>
        </w:tc>
      </w:tr>
      <w:tr w14:paraId="2A8E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noWrap w:val="0"/>
            <w:vAlign w:val="center"/>
          </w:tcPr>
          <w:p w14:paraId="24C57713">
            <w:pPr>
              <w:spacing w:line="400" w:lineRule="exact"/>
              <w:jc w:val="left"/>
              <w:rPr>
                <w:color w:val="000000"/>
                <w:szCs w:val="21"/>
                <w:highlight w:val="none"/>
              </w:rPr>
            </w:pPr>
          </w:p>
        </w:tc>
        <w:tc>
          <w:tcPr>
            <w:tcW w:w="1134" w:type="dxa"/>
            <w:vMerge w:val="continue"/>
            <w:noWrap w:val="0"/>
            <w:vAlign w:val="center"/>
          </w:tcPr>
          <w:p w14:paraId="7B033DF0">
            <w:pPr>
              <w:spacing w:line="400" w:lineRule="exact"/>
              <w:jc w:val="left"/>
              <w:rPr>
                <w:color w:val="000000"/>
                <w:szCs w:val="21"/>
                <w:highlight w:val="none"/>
              </w:rPr>
            </w:pPr>
          </w:p>
        </w:tc>
        <w:tc>
          <w:tcPr>
            <w:tcW w:w="992" w:type="dxa"/>
            <w:vMerge w:val="continue"/>
            <w:noWrap w:val="0"/>
            <w:vAlign w:val="center"/>
          </w:tcPr>
          <w:p w14:paraId="3BE51845">
            <w:pPr>
              <w:spacing w:line="400" w:lineRule="exact"/>
              <w:jc w:val="left"/>
              <w:rPr>
                <w:color w:val="000000"/>
                <w:szCs w:val="21"/>
                <w:highlight w:val="none"/>
              </w:rPr>
            </w:pPr>
          </w:p>
        </w:tc>
        <w:tc>
          <w:tcPr>
            <w:tcW w:w="5775" w:type="dxa"/>
            <w:noWrap w:val="0"/>
            <w:vAlign w:val="center"/>
          </w:tcPr>
          <w:p w14:paraId="4EA78A8B">
            <w:pPr>
              <w:spacing w:line="400" w:lineRule="exact"/>
              <w:rPr>
                <w:color w:val="000000"/>
                <w:szCs w:val="21"/>
                <w:highlight w:val="none"/>
              </w:rPr>
            </w:pPr>
            <w:r>
              <w:rPr>
                <w:rFonts w:hint="eastAsia"/>
                <w:color w:val="000000"/>
                <w:szCs w:val="21"/>
                <w:highlight w:val="none"/>
              </w:rPr>
              <w:t>风险防控管理措施基本齐全，风险预控符合规范要求，风险控制要点定位基本准确，有各阶段风险控制及应急措施。</w:t>
            </w:r>
          </w:p>
        </w:tc>
        <w:tc>
          <w:tcPr>
            <w:tcW w:w="827" w:type="dxa"/>
            <w:noWrap w:val="0"/>
            <w:vAlign w:val="center"/>
          </w:tcPr>
          <w:p w14:paraId="6F679BE3">
            <w:pPr>
              <w:spacing w:line="400" w:lineRule="exact"/>
              <w:jc w:val="center"/>
              <w:rPr>
                <w:color w:val="000000"/>
                <w:szCs w:val="21"/>
                <w:highlight w:val="none"/>
              </w:rPr>
            </w:pPr>
            <w:r>
              <w:rPr>
                <w:color w:val="000000"/>
                <w:szCs w:val="21"/>
                <w:highlight w:val="none"/>
              </w:rPr>
              <w:t>1≤</w:t>
            </w:r>
            <w:r>
              <w:rPr>
                <w:rFonts w:hint="eastAsia"/>
                <w:color w:val="000000"/>
                <w:szCs w:val="21"/>
                <w:highlight w:val="none"/>
              </w:rPr>
              <w:t>得分</w:t>
            </w:r>
            <w:r>
              <w:rPr>
                <w:color w:val="000000"/>
                <w:szCs w:val="21"/>
                <w:highlight w:val="none"/>
              </w:rPr>
              <w:t>≤1.5</w:t>
            </w:r>
          </w:p>
        </w:tc>
      </w:tr>
      <w:tr w14:paraId="0E9E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2" w:type="dxa"/>
            <w:gridSpan w:val="5"/>
            <w:noWrap w:val="0"/>
            <w:vAlign w:val="center"/>
          </w:tcPr>
          <w:p w14:paraId="5F89FBDD">
            <w:pPr>
              <w:spacing w:line="400" w:lineRule="exact"/>
              <w:jc w:val="center"/>
              <w:rPr>
                <w:color w:val="000000"/>
                <w:szCs w:val="21"/>
                <w:highlight w:val="none"/>
              </w:rPr>
            </w:pPr>
            <w:r>
              <w:rPr>
                <w:rFonts w:hint="eastAsia"/>
                <w:color w:val="000000"/>
                <w:szCs w:val="21"/>
                <w:highlight w:val="none"/>
              </w:rPr>
              <w:t>注：缺项不得分</w:t>
            </w:r>
          </w:p>
        </w:tc>
      </w:tr>
    </w:tbl>
    <w:p w14:paraId="5D6F1490">
      <w:pPr>
        <w:pStyle w:val="7"/>
        <w:ind w:firstLine="281"/>
        <w:jc w:val="center"/>
        <w:rPr>
          <w:b/>
          <w:color w:val="000000"/>
          <w:sz w:val="28"/>
          <w:szCs w:val="28"/>
          <w:highlight w:val="none"/>
        </w:rPr>
      </w:pPr>
      <w:r>
        <w:rPr>
          <w:rFonts w:hint="eastAsia"/>
          <w:b/>
          <w:color w:val="000000"/>
          <w:sz w:val="28"/>
          <w:szCs w:val="28"/>
          <w:highlight w:val="none"/>
        </w:rPr>
        <w:t>综合标评标办法</w:t>
      </w:r>
    </w:p>
    <w:tbl>
      <w:tblPr>
        <w:tblStyle w:val="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44"/>
        <w:gridCol w:w="845"/>
        <w:gridCol w:w="5735"/>
        <w:gridCol w:w="1392"/>
      </w:tblGrid>
      <w:tr w14:paraId="42FA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35C2E93">
            <w:pPr>
              <w:jc w:val="center"/>
              <w:rPr>
                <w:color w:val="000000"/>
                <w:szCs w:val="21"/>
                <w:highlight w:val="none"/>
              </w:rPr>
            </w:pPr>
            <w:r>
              <w:rPr>
                <w:rFonts w:hint="eastAsia"/>
                <w:color w:val="000000"/>
                <w:szCs w:val="21"/>
                <w:highlight w:val="none"/>
              </w:rPr>
              <w:t>序号</w:t>
            </w:r>
          </w:p>
        </w:tc>
        <w:tc>
          <w:tcPr>
            <w:tcW w:w="1689" w:type="dxa"/>
            <w:gridSpan w:val="2"/>
            <w:tcBorders>
              <w:top w:val="single" w:color="auto" w:sz="4" w:space="0"/>
              <w:left w:val="single" w:color="auto" w:sz="4" w:space="0"/>
              <w:bottom w:val="single" w:color="auto" w:sz="4" w:space="0"/>
              <w:right w:val="single" w:color="auto" w:sz="4" w:space="0"/>
            </w:tcBorders>
            <w:noWrap w:val="0"/>
            <w:vAlign w:val="center"/>
          </w:tcPr>
          <w:p w14:paraId="27FDE1F4">
            <w:pPr>
              <w:jc w:val="center"/>
              <w:rPr>
                <w:color w:val="000000"/>
                <w:szCs w:val="21"/>
                <w:highlight w:val="none"/>
              </w:rPr>
            </w:pPr>
            <w:r>
              <w:rPr>
                <w:rFonts w:hint="eastAsia"/>
                <w:color w:val="000000"/>
                <w:szCs w:val="21"/>
                <w:highlight w:val="none"/>
              </w:rPr>
              <w:t>项</w:t>
            </w:r>
            <w:r>
              <w:rPr>
                <w:color w:val="000000"/>
                <w:szCs w:val="21"/>
                <w:highlight w:val="none"/>
              </w:rPr>
              <w:t xml:space="preserve">     </w:t>
            </w:r>
            <w:r>
              <w:rPr>
                <w:rFonts w:hint="eastAsia"/>
                <w:color w:val="000000"/>
                <w:szCs w:val="21"/>
                <w:highlight w:val="none"/>
              </w:rPr>
              <w:t>目</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66C520DA">
            <w:pPr>
              <w:jc w:val="center"/>
              <w:rPr>
                <w:color w:val="000000"/>
                <w:szCs w:val="21"/>
                <w:highlight w:val="none"/>
              </w:rPr>
            </w:pPr>
            <w:r>
              <w:rPr>
                <w:rFonts w:hint="eastAsia"/>
                <w:color w:val="000000"/>
                <w:szCs w:val="21"/>
                <w:highlight w:val="none"/>
              </w:rPr>
              <w:t>评</w:t>
            </w:r>
            <w:r>
              <w:rPr>
                <w:color w:val="000000"/>
                <w:szCs w:val="21"/>
                <w:highlight w:val="none"/>
              </w:rPr>
              <w:t xml:space="preserve">  </w:t>
            </w:r>
            <w:r>
              <w:rPr>
                <w:rFonts w:hint="eastAsia"/>
                <w:color w:val="000000"/>
                <w:szCs w:val="21"/>
                <w:highlight w:val="none"/>
              </w:rPr>
              <w:t>审</w:t>
            </w:r>
            <w:r>
              <w:rPr>
                <w:color w:val="000000"/>
                <w:szCs w:val="21"/>
                <w:highlight w:val="none"/>
              </w:rPr>
              <w:t xml:space="preserve">   </w:t>
            </w:r>
            <w:r>
              <w:rPr>
                <w:rFonts w:hint="eastAsia"/>
                <w:color w:val="000000"/>
                <w:szCs w:val="21"/>
                <w:highlight w:val="none"/>
              </w:rPr>
              <w:t>标</w:t>
            </w:r>
            <w:r>
              <w:rPr>
                <w:color w:val="000000"/>
                <w:szCs w:val="21"/>
                <w:highlight w:val="none"/>
              </w:rPr>
              <w:t xml:space="preserve">   </w:t>
            </w:r>
            <w:r>
              <w:rPr>
                <w:rFonts w:hint="eastAsia"/>
                <w:color w:val="000000"/>
                <w:szCs w:val="21"/>
                <w:highlight w:val="none"/>
              </w:rPr>
              <w:t>准</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70B243A">
            <w:pPr>
              <w:jc w:val="center"/>
              <w:rPr>
                <w:color w:val="000000"/>
                <w:szCs w:val="21"/>
                <w:highlight w:val="none"/>
              </w:rPr>
            </w:pPr>
            <w:r>
              <w:rPr>
                <w:rFonts w:hint="eastAsia"/>
                <w:color w:val="000000"/>
                <w:szCs w:val="21"/>
                <w:highlight w:val="none"/>
              </w:rPr>
              <w:t>评审计分</w:t>
            </w:r>
          </w:p>
        </w:tc>
      </w:tr>
      <w:tr w14:paraId="0662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7601021D">
            <w:pPr>
              <w:jc w:val="center"/>
              <w:rPr>
                <w:rFonts w:hint="eastAsia" w:eastAsia="宋体"/>
                <w:color w:val="000000"/>
                <w:szCs w:val="21"/>
                <w:highlight w:val="none"/>
                <w:lang w:eastAsia="zh-CN"/>
              </w:rPr>
            </w:pPr>
            <w:r>
              <w:rPr>
                <w:rFonts w:hint="eastAsia"/>
                <w:color w:val="000000"/>
                <w:szCs w:val="21"/>
                <w:highlight w:val="none"/>
                <w:lang w:val="en-US" w:eastAsia="zh-CN"/>
              </w:rPr>
              <w:t>1</w:t>
            </w:r>
          </w:p>
        </w:tc>
        <w:tc>
          <w:tcPr>
            <w:tcW w:w="844" w:type="dxa"/>
            <w:vMerge w:val="restart"/>
            <w:tcBorders>
              <w:top w:val="single" w:color="auto" w:sz="4" w:space="0"/>
              <w:left w:val="single" w:color="auto" w:sz="4" w:space="0"/>
              <w:right w:val="single" w:color="auto" w:sz="4" w:space="0"/>
            </w:tcBorders>
            <w:noWrap w:val="0"/>
            <w:vAlign w:val="center"/>
          </w:tcPr>
          <w:p w14:paraId="71D9435B">
            <w:pPr>
              <w:jc w:val="center"/>
              <w:rPr>
                <w:color w:val="000000"/>
                <w:szCs w:val="21"/>
                <w:highlight w:val="none"/>
              </w:rPr>
            </w:pPr>
            <w:r>
              <w:rPr>
                <w:rFonts w:hint="eastAsia"/>
                <w:color w:val="000000"/>
                <w:szCs w:val="21"/>
                <w:highlight w:val="none"/>
              </w:rPr>
              <w:t>优惠承诺</w:t>
            </w:r>
          </w:p>
        </w:tc>
        <w:tc>
          <w:tcPr>
            <w:tcW w:w="845" w:type="dxa"/>
            <w:vMerge w:val="restart"/>
            <w:tcBorders>
              <w:top w:val="single" w:color="auto" w:sz="4" w:space="0"/>
              <w:left w:val="single" w:color="auto" w:sz="4" w:space="0"/>
              <w:right w:val="single" w:color="auto" w:sz="4" w:space="0"/>
            </w:tcBorders>
            <w:noWrap w:val="0"/>
            <w:vAlign w:val="center"/>
          </w:tcPr>
          <w:p w14:paraId="635F528F">
            <w:pPr>
              <w:jc w:val="center"/>
              <w:rPr>
                <w:rFonts w:hint="default" w:eastAsia="宋体"/>
                <w:color w:val="000000"/>
                <w:highlight w:val="none"/>
                <w:lang w:val="en-US" w:eastAsia="zh-CN"/>
              </w:rPr>
            </w:pPr>
            <w:r>
              <w:rPr>
                <w:rFonts w:hint="eastAsia"/>
                <w:color w:val="000000"/>
                <w:highlight w:val="none"/>
                <w:lang w:val="en-US" w:eastAsia="zh-CN"/>
              </w:rPr>
              <w:t>10分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47A4CC48">
            <w:pPr>
              <w:spacing w:line="240" w:lineRule="exact"/>
              <w:jc w:val="left"/>
              <w:rPr>
                <w:color w:val="000000"/>
                <w:szCs w:val="21"/>
                <w:highlight w:val="none"/>
              </w:rPr>
            </w:pPr>
            <w:r>
              <w:rPr>
                <w:rFonts w:hint="eastAsia"/>
                <w:color w:val="000000"/>
                <w:szCs w:val="21"/>
                <w:highlight w:val="none"/>
              </w:rPr>
              <w:t>优惠承诺应是书面的符合工程实际情况，确保依法依规，优惠合理，详实可行（包含但不限于对工程连续施工、质保期及投标人认为有必要的其他优惠承诺）。</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5F2A48F">
            <w:pPr>
              <w:jc w:val="center"/>
              <w:rPr>
                <w:color w:val="000000"/>
                <w:szCs w:val="21"/>
                <w:highlight w:val="none"/>
              </w:rPr>
            </w:pPr>
            <w:r>
              <w:rPr>
                <w:rFonts w:hint="eastAsia"/>
                <w:color w:val="000000"/>
                <w:szCs w:val="21"/>
                <w:highlight w:val="none"/>
              </w:rPr>
              <w:t>6</w:t>
            </w:r>
            <w:r>
              <w:rPr>
                <w:color w:val="000000"/>
                <w:szCs w:val="21"/>
                <w:highlight w:val="none"/>
              </w:rPr>
              <w:t>≤</w:t>
            </w:r>
            <w:r>
              <w:rPr>
                <w:rFonts w:hint="eastAsia"/>
                <w:color w:val="000000"/>
                <w:szCs w:val="21"/>
                <w:highlight w:val="none"/>
              </w:rPr>
              <w:t>得分</w:t>
            </w:r>
            <w:r>
              <w:rPr>
                <w:color w:val="000000"/>
                <w:szCs w:val="21"/>
                <w:highlight w:val="none"/>
              </w:rPr>
              <w:t>≤</w:t>
            </w:r>
            <w:r>
              <w:rPr>
                <w:rFonts w:hint="eastAsia"/>
                <w:color w:val="000000"/>
                <w:szCs w:val="21"/>
                <w:highlight w:val="none"/>
              </w:rPr>
              <w:t>10</w:t>
            </w:r>
          </w:p>
        </w:tc>
      </w:tr>
      <w:tr w14:paraId="6A82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3D4AF704">
            <w:pPr>
              <w:widowControl/>
              <w:jc w:val="left"/>
              <w:rPr>
                <w:color w:val="000000"/>
                <w:szCs w:val="21"/>
                <w:highlight w:val="none"/>
              </w:rPr>
            </w:pPr>
          </w:p>
        </w:tc>
        <w:tc>
          <w:tcPr>
            <w:tcW w:w="844" w:type="dxa"/>
            <w:vMerge w:val="continue"/>
            <w:tcBorders>
              <w:left w:val="single" w:color="auto" w:sz="4" w:space="0"/>
              <w:bottom w:val="single" w:color="auto" w:sz="4" w:space="0"/>
              <w:right w:val="single" w:color="auto" w:sz="4" w:space="0"/>
            </w:tcBorders>
            <w:noWrap w:val="0"/>
            <w:vAlign w:val="center"/>
          </w:tcPr>
          <w:p w14:paraId="477ECDA6">
            <w:pPr>
              <w:widowControl/>
              <w:jc w:val="left"/>
              <w:rPr>
                <w:color w:val="000000"/>
                <w:szCs w:val="21"/>
                <w:highlight w:val="none"/>
              </w:rPr>
            </w:pPr>
          </w:p>
        </w:tc>
        <w:tc>
          <w:tcPr>
            <w:tcW w:w="845" w:type="dxa"/>
            <w:vMerge w:val="continue"/>
            <w:tcBorders>
              <w:left w:val="single" w:color="auto" w:sz="4" w:space="0"/>
              <w:bottom w:val="single" w:color="auto" w:sz="4" w:space="0"/>
              <w:right w:val="single" w:color="auto" w:sz="4" w:space="0"/>
            </w:tcBorders>
            <w:noWrap w:val="0"/>
            <w:vAlign w:val="center"/>
          </w:tcPr>
          <w:p w14:paraId="39D63DE7">
            <w:pPr>
              <w:widowControl/>
              <w:jc w:val="left"/>
              <w:rPr>
                <w:color w:val="000000"/>
                <w:szCs w:val="21"/>
                <w:highlight w:val="none"/>
              </w:rPr>
            </w:pPr>
          </w:p>
        </w:tc>
        <w:tc>
          <w:tcPr>
            <w:tcW w:w="5735" w:type="dxa"/>
            <w:tcBorders>
              <w:top w:val="single" w:color="auto" w:sz="4" w:space="0"/>
              <w:left w:val="single" w:color="auto" w:sz="4" w:space="0"/>
              <w:bottom w:val="single" w:color="auto" w:sz="4" w:space="0"/>
              <w:right w:val="single" w:color="auto" w:sz="4" w:space="0"/>
            </w:tcBorders>
            <w:noWrap w:val="0"/>
            <w:vAlign w:val="center"/>
          </w:tcPr>
          <w:p w14:paraId="72B77429">
            <w:pPr>
              <w:spacing w:line="240" w:lineRule="exact"/>
              <w:jc w:val="left"/>
              <w:rPr>
                <w:color w:val="000000"/>
                <w:szCs w:val="21"/>
                <w:highlight w:val="none"/>
              </w:rPr>
            </w:pPr>
            <w:r>
              <w:rPr>
                <w:rFonts w:hint="eastAsia"/>
                <w:color w:val="000000"/>
                <w:szCs w:val="21"/>
                <w:highlight w:val="none"/>
              </w:rPr>
              <w:t>优惠承诺符合工程实际情况，确保依法依规，优惠基本合理，基本详实可行。缺项得</w:t>
            </w:r>
            <w:r>
              <w:rPr>
                <w:color w:val="000000"/>
                <w:szCs w:val="21"/>
                <w:highlight w:val="none"/>
              </w:rPr>
              <w:t>0</w:t>
            </w:r>
            <w:r>
              <w:rPr>
                <w:rFonts w:hint="eastAsia"/>
                <w:color w:val="000000"/>
                <w:szCs w:val="21"/>
                <w:highlight w:val="none"/>
              </w:rPr>
              <w:t>分。</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E5DDD89">
            <w:pPr>
              <w:jc w:val="center"/>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得分＜6</w:t>
            </w:r>
          </w:p>
        </w:tc>
      </w:tr>
      <w:tr w14:paraId="751D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4946ADAB">
            <w:pPr>
              <w:jc w:val="center"/>
              <w:rPr>
                <w:rFonts w:hint="eastAsia" w:eastAsia="宋体"/>
                <w:color w:val="000000"/>
                <w:szCs w:val="21"/>
                <w:highlight w:val="none"/>
                <w:lang w:eastAsia="zh-CN"/>
              </w:rPr>
            </w:pPr>
            <w:r>
              <w:rPr>
                <w:rFonts w:hint="eastAsia"/>
                <w:color w:val="000000"/>
                <w:szCs w:val="21"/>
                <w:highlight w:val="none"/>
                <w:lang w:val="en-US" w:eastAsia="zh-CN"/>
              </w:rPr>
              <w:t>2</w:t>
            </w:r>
          </w:p>
        </w:tc>
        <w:tc>
          <w:tcPr>
            <w:tcW w:w="844" w:type="dxa"/>
            <w:vMerge w:val="restart"/>
            <w:tcBorders>
              <w:top w:val="single" w:color="auto" w:sz="4" w:space="0"/>
              <w:left w:val="single" w:color="auto" w:sz="4" w:space="0"/>
              <w:right w:val="single" w:color="auto" w:sz="4" w:space="0"/>
            </w:tcBorders>
            <w:noWrap w:val="0"/>
            <w:vAlign w:val="center"/>
          </w:tcPr>
          <w:p w14:paraId="297F5C02">
            <w:pPr>
              <w:jc w:val="center"/>
              <w:rPr>
                <w:color w:val="000000"/>
                <w:szCs w:val="21"/>
                <w:highlight w:val="none"/>
              </w:rPr>
            </w:pPr>
            <w:r>
              <w:rPr>
                <w:rFonts w:hint="eastAsia"/>
                <w:color w:val="000000"/>
                <w:szCs w:val="21"/>
                <w:highlight w:val="none"/>
              </w:rPr>
              <w:t>履职尽责承诺</w:t>
            </w:r>
          </w:p>
        </w:tc>
        <w:tc>
          <w:tcPr>
            <w:tcW w:w="845" w:type="dxa"/>
            <w:vMerge w:val="restart"/>
            <w:tcBorders>
              <w:top w:val="single" w:color="auto" w:sz="4" w:space="0"/>
              <w:left w:val="single" w:color="auto" w:sz="4" w:space="0"/>
              <w:right w:val="single" w:color="auto" w:sz="4" w:space="0"/>
            </w:tcBorders>
            <w:noWrap w:val="0"/>
            <w:vAlign w:val="center"/>
          </w:tcPr>
          <w:p w14:paraId="266C25B1">
            <w:pPr>
              <w:jc w:val="center"/>
              <w:rPr>
                <w:rFonts w:hint="default" w:eastAsia="宋体"/>
                <w:color w:val="000000"/>
                <w:szCs w:val="21"/>
                <w:highlight w:val="none"/>
                <w:lang w:val="en-US" w:eastAsia="zh-CN"/>
              </w:rPr>
            </w:pPr>
            <w:r>
              <w:rPr>
                <w:rFonts w:hint="eastAsia"/>
                <w:color w:val="000000"/>
                <w:szCs w:val="21"/>
                <w:highlight w:val="none"/>
                <w:lang w:val="en-US" w:eastAsia="zh-CN"/>
              </w:rPr>
              <w:t>10分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1862DE95">
            <w:pPr>
              <w:spacing w:line="240" w:lineRule="exact"/>
              <w:jc w:val="left"/>
              <w:rPr>
                <w:color w:val="000000"/>
                <w:szCs w:val="21"/>
                <w:highlight w:val="none"/>
              </w:rPr>
            </w:pPr>
            <w:r>
              <w:rPr>
                <w:rFonts w:hint="eastAsia"/>
                <w:color w:val="000000"/>
                <w:szCs w:val="21"/>
                <w:highlight w:val="none"/>
              </w:rPr>
              <w:t>具有全面、详实、可行、合法有效的书面保证技术措施落实到位的承诺和落实不到位的处理承诺，其中包括各关键岗位人员的在岗、更换等履职尽责承诺，提供承包商履约保证。</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D0DDD72">
            <w:pPr>
              <w:jc w:val="center"/>
              <w:rPr>
                <w:color w:val="000000"/>
                <w:szCs w:val="21"/>
                <w:highlight w:val="none"/>
              </w:rPr>
            </w:pPr>
            <w:r>
              <w:rPr>
                <w:rFonts w:hint="eastAsia"/>
                <w:color w:val="000000"/>
                <w:szCs w:val="21"/>
                <w:highlight w:val="none"/>
              </w:rPr>
              <w:t>6</w:t>
            </w:r>
            <w:r>
              <w:rPr>
                <w:color w:val="000000"/>
                <w:szCs w:val="21"/>
                <w:highlight w:val="none"/>
              </w:rPr>
              <w:t>≤</w:t>
            </w:r>
            <w:r>
              <w:rPr>
                <w:rFonts w:hint="eastAsia"/>
                <w:color w:val="000000"/>
                <w:szCs w:val="21"/>
                <w:highlight w:val="none"/>
              </w:rPr>
              <w:t>得分</w:t>
            </w:r>
            <w:r>
              <w:rPr>
                <w:color w:val="000000"/>
                <w:szCs w:val="21"/>
                <w:highlight w:val="none"/>
              </w:rPr>
              <w:t>≤</w:t>
            </w:r>
            <w:r>
              <w:rPr>
                <w:rFonts w:hint="eastAsia"/>
                <w:color w:val="000000"/>
                <w:szCs w:val="21"/>
                <w:highlight w:val="none"/>
              </w:rPr>
              <w:t>10</w:t>
            </w:r>
          </w:p>
        </w:tc>
      </w:tr>
      <w:tr w14:paraId="618D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706C6FDC">
            <w:pPr>
              <w:widowControl/>
              <w:jc w:val="left"/>
              <w:rPr>
                <w:color w:val="000000"/>
                <w:szCs w:val="21"/>
                <w:highlight w:val="none"/>
              </w:rPr>
            </w:pPr>
          </w:p>
        </w:tc>
        <w:tc>
          <w:tcPr>
            <w:tcW w:w="844" w:type="dxa"/>
            <w:vMerge w:val="continue"/>
            <w:tcBorders>
              <w:left w:val="single" w:color="auto" w:sz="4" w:space="0"/>
              <w:bottom w:val="single" w:color="auto" w:sz="4" w:space="0"/>
              <w:right w:val="single" w:color="auto" w:sz="4" w:space="0"/>
            </w:tcBorders>
            <w:noWrap w:val="0"/>
            <w:vAlign w:val="center"/>
          </w:tcPr>
          <w:p w14:paraId="0DB25FD1">
            <w:pPr>
              <w:widowControl/>
              <w:jc w:val="left"/>
              <w:rPr>
                <w:color w:val="000000"/>
                <w:szCs w:val="21"/>
                <w:highlight w:val="none"/>
              </w:rPr>
            </w:pPr>
          </w:p>
        </w:tc>
        <w:tc>
          <w:tcPr>
            <w:tcW w:w="845" w:type="dxa"/>
            <w:vMerge w:val="continue"/>
            <w:tcBorders>
              <w:left w:val="single" w:color="auto" w:sz="4" w:space="0"/>
              <w:bottom w:val="single" w:color="auto" w:sz="4" w:space="0"/>
              <w:right w:val="single" w:color="auto" w:sz="4" w:space="0"/>
            </w:tcBorders>
            <w:noWrap w:val="0"/>
            <w:vAlign w:val="center"/>
          </w:tcPr>
          <w:p w14:paraId="072FCA27">
            <w:pPr>
              <w:widowControl/>
              <w:jc w:val="left"/>
              <w:rPr>
                <w:color w:val="000000"/>
                <w:szCs w:val="21"/>
                <w:highlight w:val="none"/>
              </w:rPr>
            </w:pPr>
          </w:p>
        </w:tc>
        <w:tc>
          <w:tcPr>
            <w:tcW w:w="5735" w:type="dxa"/>
            <w:tcBorders>
              <w:top w:val="single" w:color="auto" w:sz="4" w:space="0"/>
              <w:left w:val="single" w:color="auto" w:sz="4" w:space="0"/>
              <w:bottom w:val="single" w:color="auto" w:sz="4" w:space="0"/>
              <w:right w:val="single" w:color="auto" w:sz="4" w:space="0"/>
            </w:tcBorders>
            <w:noWrap w:val="0"/>
            <w:vAlign w:val="center"/>
          </w:tcPr>
          <w:p w14:paraId="2CC4F381">
            <w:pPr>
              <w:autoSpaceDE w:val="0"/>
              <w:autoSpaceDN w:val="0"/>
              <w:adjustRightInd w:val="0"/>
              <w:jc w:val="left"/>
              <w:rPr>
                <w:rFonts w:ascii="宋体" w:cs="宋体"/>
                <w:color w:val="000000"/>
                <w:kern w:val="0"/>
                <w:szCs w:val="21"/>
                <w:highlight w:val="none"/>
              </w:rPr>
            </w:pPr>
            <w:r>
              <w:rPr>
                <w:rFonts w:hint="eastAsia" w:ascii="宋体" w:cs="宋体"/>
                <w:color w:val="000000"/>
                <w:kern w:val="0"/>
                <w:szCs w:val="21"/>
                <w:highlight w:val="none"/>
              </w:rPr>
              <w:t>具有可行、合法有效的书面保证技术措施落实到位的承诺和落实不到位的处理承诺，其中包括各关键岗位人员的在岗、更换等履职尽责承诺，提供承包商履约保证。</w:t>
            </w:r>
            <w:r>
              <w:rPr>
                <w:rFonts w:hint="eastAsia"/>
                <w:color w:val="000000"/>
                <w:szCs w:val="21"/>
                <w:highlight w:val="none"/>
              </w:rPr>
              <w:t>缺项得</w:t>
            </w:r>
            <w:r>
              <w:rPr>
                <w:color w:val="000000"/>
                <w:szCs w:val="21"/>
                <w:highlight w:val="none"/>
              </w:rPr>
              <w:t>0</w:t>
            </w:r>
            <w:r>
              <w:rPr>
                <w:rFonts w:hint="eastAsia"/>
                <w:color w:val="000000"/>
                <w:szCs w:val="21"/>
                <w:highlight w:val="none"/>
              </w:rPr>
              <w:t>分。</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42123582">
            <w:pPr>
              <w:jc w:val="center"/>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得分＜6</w:t>
            </w:r>
          </w:p>
        </w:tc>
      </w:tr>
      <w:tr w14:paraId="7E3E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34" w:type="dxa"/>
            <w:vMerge w:val="restart"/>
            <w:tcBorders>
              <w:top w:val="single" w:color="auto" w:sz="4" w:space="0"/>
              <w:left w:val="single" w:color="auto" w:sz="4" w:space="0"/>
              <w:right w:val="single" w:color="auto" w:sz="4" w:space="0"/>
            </w:tcBorders>
            <w:noWrap w:val="0"/>
            <w:vAlign w:val="center"/>
          </w:tcPr>
          <w:p w14:paraId="112F9FA2">
            <w:pPr>
              <w:widowControl/>
              <w:jc w:val="left"/>
              <w:rPr>
                <w:rFonts w:hint="eastAsia" w:eastAsia="宋体"/>
                <w:color w:val="000000"/>
                <w:szCs w:val="21"/>
                <w:highlight w:val="none"/>
                <w:lang w:eastAsia="zh-CN"/>
              </w:rPr>
            </w:pPr>
            <w:r>
              <w:rPr>
                <w:rFonts w:hint="eastAsia"/>
                <w:color w:val="000000"/>
                <w:szCs w:val="21"/>
                <w:highlight w:val="none"/>
                <w:lang w:val="en-US" w:eastAsia="zh-CN"/>
              </w:rPr>
              <w:t>3</w:t>
            </w:r>
          </w:p>
        </w:tc>
        <w:tc>
          <w:tcPr>
            <w:tcW w:w="844" w:type="dxa"/>
            <w:vMerge w:val="restart"/>
            <w:tcBorders>
              <w:top w:val="single" w:color="auto" w:sz="4" w:space="0"/>
              <w:left w:val="single" w:color="auto" w:sz="4" w:space="0"/>
              <w:right w:val="single" w:color="auto" w:sz="4" w:space="0"/>
            </w:tcBorders>
            <w:noWrap w:val="0"/>
            <w:vAlign w:val="center"/>
          </w:tcPr>
          <w:p w14:paraId="2B35A3A1">
            <w:pPr>
              <w:jc w:val="center"/>
              <w:rPr>
                <w:color w:val="000000"/>
                <w:szCs w:val="21"/>
                <w:highlight w:val="none"/>
              </w:rPr>
            </w:pPr>
            <w:r>
              <w:rPr>
                <w:rFonts w:hint="eastAsia"/>
                <w:color w:val="000000"/>
                <w:szCs w:val="21"/>
                <w:highlight w:val="none"/>
              </w:rPr>
              <w:t>合理化建议</w:t>
            </w:r>
          </w:p>
        </w:tc>
        <w:tc>
          <w:tcPr>
            <w:tcW w:w="845" w:type="dxa"/>
            <w:vMerge w:val="restart"/>
            <w:tcBorders>
              <w:top w:val="single" w:color="auto" w:sz="4" w:space="0"/>
              <w:left w:val="single" w:color="auto" w:sz="4" w:space="0"/>
              <w:right w:val="single" w:color="auto" w:sz="4" w:space="0"/>
            </w:tcBorders>
            <w:noWrap w:val="0"/>
            <w:vAlign w:val="center"/>
          </w:tcPr>
          <w:p w14:paraId="6D4639FD">
            <w:pPr>
              <w:jc w:val="center"/>
              <w:rPr>
                <w:rFonts w:hint="default" w:eastAsia="宋体"/>
                <w:color w:val="000000"/>
                <w:szCs w:val="21"/>
                <w:highlight w:val="none"/>
                <w:lang w:val="en-US" w:eastAsia="zh-CN"/>
              </w:rPr>
            </w:pPr>
            <w:r>
              <w:rPr>
                <w:rFonts w:hint="eastAsia"/>
                <w:color w:val="000000"/>
                <w:szCs w:val="21"/>
                <w:highlight w:val="none"/>
                <w:lang w:val="en-US" w:eastAsia="zh-CN"/>
              </w:rPr>
              <w:t>5分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5B3F9F88">
            <w:pPr>
              <w:autoSpaceDE w:val="0"/>
              <w:autoSpaceDN w:val="0"/>
              <w:adjustRightInd w:val="0"/>
              <w:jc w:val="left"/>
              <w:rPr>
                <w:rFonts w:hint="eastAsia" w:ascii="宋体" w:cs="宋体"/>
                <w:color w:val="000000"/>
                <w:kern w:val="0"/>
                <w:szCs w:val="21"/>
                <w:highlight w:val="none"/>
              </w:rPr>
            </w:pPr>
            <w:r>
              <w:rPr>
                <w:rFonts w:hint="eastAsia" w:ascii="宋体" w:cs="宋体"/>
                <w:color w:val="000000"/>
                <w:kern w:val="0"/>
                <w:szCs w:val="21"/>
                <w:highlight w:val="none"/>
              </w:rPr>
              <w:t>投标人提出的合理化建议符合工程实际情况，有针对性，详实可行。</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459113E">
            <w:pPr>
              <w:jc w:val="center"/>
              <w:rPr>
                <w:color w:val="000000"/>
                <w:szCs w:val="21"/>
                <w:highlight w:val="none"/>
              </w:rPr>
            </w:pPr>
            <w:r>
              <w:rPr>
                <w:rFonts w:hint="eastAsia"/>
                <w:color w:val="000000"/>
                <w:szCs w:val="21"/>
                <w:highlight w:val="none"/>
              </w:rPr>
              <w:t>3</w:t>
            </w:r>
            <w:r>
              <w:rPr>
                <w:color w:val="000000"/>
                <w:szCs w:val="21"/>
                <w:highlight w:val="none"/>
              </w:rPr>
              <w:t>≤</w:t>
            </w:r>
            <w:r>
              <w:rPr>
                <w:rFonts w:hint="eastAsia"/>
                <w:color w:val="000000"/>
                <w:szCs w:val="21"/>
                <w:highlight w:val="none"/>
              </w:rPr>
              <w:t>得分</w:t>
            </w:r>
            <w:r>
              <w:rPr>
                <w:color w:val="000000"/>
                <w:szCs w:val="21"/>
                <w:highlight w:val="none"/>
              </w:rPr>
              <w:t>≤</w:t>
            </w:r>
            <w:r>
              <w:rPr>
                <w:rFonts w:hint="eastAsia"/>
                <w:color w:val="000000"/>
                <w:szCs w:val="21"/>
                <w:highlight w:val="none"/>
              </w:rPr>
              <w:t>5</w:t>
            </w:r>
          </w:p>
        </w:tc>
      </w:tr>
      <w:tr w14:paraId="0E7F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4" w:type="dxa"/>
            <w:vMerge w:val="continue"/>
            <w:tcBorders>
              <w:left w:val="single" w:color="auto" w:sz="4" w:space="0"/>
              <w:bottom w:val="single" w:color="auto" w:sz="4" w:space="0"/>
              <w:right w:val="single" w:color="auto" w:sz="4" w:space="0"/>
            </w:tcBorders>
            <w:noWrap w:val="0"/>
            <w:vAlign w:val="center"/>
          </w:tcPr>
          <w:p w14:paraId="482ABD7B">
            <w:pPr>
              <w:widowControl/>
              <w:jc w:val="left"/>
              <w:rPr>
                <w:color w:val="000000"/>
                <w:szCs w:val="21"/>
                <w:highlight w:val="none"/>
              </w:rPr>
            </w:pPr>
          </w:p>
        </w:tc>
        <w:tc>
          <w:tcPr>
            <w:tcW w:w="844" w:type="dxa"/>
            <w:vMerge w:val="continue"/>
            <w:tcBorders>
              <w:left w:val="single" w:color="auto" w:sz="4" w:space="0"/>
              <w:bottom w:val="single" w:color="auto" w:sz="4" w:space="0"/>
              <w:right w:val="single" w:color="auto" w:sz="4" w:space="0"/>
            </w:tcBorders>
            <w:noWrap w:val="0"/>
            <w:vAlign w:val="center"/>
          </w:tcPr>
          <w:p w14:paraId="4D868F10">
            <w:pPr>
              <w:widowControl/>
              <w:jc w:val="left"/>
              <w:rPr>
                <w:rFonts w:hint="eastAsia"/>
                <w:color w:val="000000"/>
                <w:szCs w:val="21"/>
                <w:highlight w:val="none"/>
              </w:rPr>
            </w:pPr>
          </w:p>
        </w:tc>
        <w:tc>
          <w:tcPr>
            <w:tcW w:w="845" w:type="dxa"/>
            <w:vMerge w:val="continue"/>
            <w:tcBorders>
              <w:left w:val="single" w:color="auto" w:sz="4" w:space="0"/>
              <w:bottom w:val="single" w:color="auto" w:sz="4" w:space="0"/>
              <w:right w:val="single" w:color="auto" w:sz="4" w:space="0"/>
            </w:tcBorders>
            <w:noWrap w:val="0"/>
            <w:vAlign w:val="center"/>
          </w:tcPr>
          <w:p w14:paraId="4F90A313">
            <w:pPr>
              <w:widowControl/>
              <w:jc w:val="left"/>
              <w:rPr>
                <w:rFonts w:hint="eastAsia"/>
                <w:color w:val="000000"/>
                <w:szCs w:val="21"/>
                <w:highlight w:val="none"/>
              </w:rPr>
            </w:pPr>
          </w:p>
        </w:tc>
        <w:tc>
          <w:tcPr>
            <w:tcW w:w="5735" w:type="dxa"/>
            <w:tcBorders>
              <w:top w:val="single" w:color="auto" w:sz="4" w:space="0"/>
              <w:left w:val="single" w:color="auto" w:sz="4" w:space="0"/>
              <w:bottom w:val="single" w:color="auto" w:sz="4" w:space="0"/>
              <w:right w:val="single" w:color="auto" w:sz="4" w:space="0"/>
            </w:tcBorders>
            <w:noWrap w:val="0"/>
            <w:vAlign w:val="center"/>
          </w:tcPr>
          <w:p w14:paraId="245F0566">
            <w:pPr>
              <w:autoSpaceDE w:val="0"/>
              <w:autoSpaceDN w:val="0"/>
              <w:adjustRightInd w:val="0"/>
              <w:jc w:val="left"/>
              <w:rPr>
                <w:rFonts w:hint="default" w:ascii="宋体" w:eastAsia="宋体" w:cs="宋体"/>
                <w:color w:val="000000"/>
                <w:kern w:val="0"/>
                <w:szCs w:val="21"/>
                <w:highlight w:val="none"/>
                <w:lang w:val="en-US" w:eastAsia="zh-CN"/>
              </w:rPr>
            </w:pPr>
            <w:r>
              <w:rPr>
                <w:rFonts w:hint="eastAsia" w:ascii="宋体" w:cs="宋体"/>
                <w:color w:val="000000"/>
                <w:kern w:val="0"/>
                <w:szCs w:val="21"/>
                <w:highlight w:val="none"/>
              </w:rPr>
              <w:t>投标人提出的合理化建议符合工程实际情况，基本合理，基本详实可行。</w:t>
            </w:r>
            <w:r>
              <w:rPr>
                <w:rFonts w:hint="eastAsia" w:ascii="宋体" w:cs="宋体"/>
                <w:color w:val="000000"/>
                <w:kern w:val="0"/>
                <w:szCs w:val="21"/>
                <w:highlight w:val="none"/>
                <w:lang w:val="en-US" w:eastAsia="zh-CN"/>
              </w:rPr>
              <w:t>缺项得0分</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59F81669">
            <w:pPr>
              <w:jc w:val="center"/>
              <w:rPr>
                <w:color w:val="000000"/>
                <w:szCs w:val="21"/>
                <w:highlight w:val="none"/>
              </w:rPr>
            </w:pPr>
            <w:r>
              <w:rPr>
                <w:rFonts w:hint="eastAsia"/>
                <w:color w:val="000000"/>
                <w:szCs w:val="21"/>
                <w:highlight w:val="none"/>
              </w:rPr>
              <w:t>1</w:t>
            </w:r>
            <w:r>
              <w:rPr>
                <w:color w:val="000000"/>
                <w:szCs w:val="21"/>
                <w:highlight w:val="none"/>
              </w:rPr>
              <w:t>≤</w:t>
            </w:r>
            <w:r>
              <w:rPr>
                <w:rFonts w:hint="eastAsia"/>
                <w:color w:val="000000"/>
                <w:szCs w:val="21"/>
                <w:highlight w:val="none"/>
              </w:rPr>
              <w:t>得分</w:t>
            </w:r>
            <w:r>
              <w:rPr>
                <w:color w:val="000000"/>
                <w:szCs w:val="21"/>
                <w:highlight w:val="none"/>
              </w:rPr>
              <w:t>≤</w:t>
            </w:r>
            <w:r>
              <w:rPr>
                <w:rFonts w:hint="eastAsia"/>
                <w:color w:val="000000"/>
                <w:szCs w:val="21"/>
                <w:highlight w:val="none"/>
              </w:rPr>
              <w:t>3</w:t>
            </w:r>
          </w:p>
        </w:tc>
      </w:tr>
    </w:tbl>
    <w:p w14:paraId="3D79AE3F">
      <w:pPr>
        <w:rPr>
          <w:b/>
          <w:color w:val="000000"/>
          <w:highlight w:val="none"/>
        </w:rPr>
      </w:pPr>
    </w:p>
    <w:p w14:paraId="63507910">
      <w:pPr>
        <w:rPr>
          <w:b/>
          <w:color w:val="000000"/>
          <w:highlight w:val="none"/>
        </w:rPr>
      </w:pPr>
      <w:r>
        <w:rPr>
          <w:rFonts w:hint="eastAsia"/>
          <w:b/>
          <w:color w:val="000000"/>
          <w:highlight w:val="none"/>
        </w:rPr>
        <w:t>注：所有内容以各投标人上传的电子版投标文件为准。</w:t>
      </w:r>
    </w:p>
    <w:p w14:paraId="6D50D3BE">
      <w:pPr>
        <w:ind w:firstLine="420" w:firstLineChars="200"/>
        <w:rPr>
          <w:b/>
          <w:color w:val="000000"/>
          <w:highlight w:val="none"/>
        </w:rPr>
      </w:pPr>
      <w:r>
        <w:rPr>
          <w:rFonts w:hint="eastAsia"/>
          <w:b/>
          <w:color w:val="000000"/>
          <w:highlight w:val="none"/>
        </w:rPr>
        <w:t>本评标办法中与本招标文件其他处内容不一致时，以本评标办法为准，若本评标办法前附表与评标办法正文、附件不一致时以评标前附表为准，本评标办法总分值与分项分值不一致时，以分项分值为准（明显有误除外）。</w:t>
      </w:r>
    </w:p>
    <w:p w14:paraId="7DE99FDC">
      <w:pPr>
        <w:keepNext/>
        <w:keepLines/>
        <w:spacing w:before="100" w:line="400" w:lineRule="exact"/>
        <w:outlineLvl w:val="1"/>
        <w:rPr>
          <w:rFonts w:eastAsia="黑体" w:cs="宋体"/>
          <w:color w:val="000000"/>
          <w:sz w:val="28"/>
          <w:szCs w:val="20"/>
          <w:highlight w:val="none"/>
        </w:rPr>
      </w:pPr>
      <w:bookmarkStart w:id="232" w:name="_Toc149833944"/>
      <w:bookmarkStart w:id="233" w:name="_Toc155799723"/>
      <w:r>
        <w:rPr>
          <w:rFonts w:eastAsia="黑体" w:cs="宋体"/>
          <w:color w:val="000000"/>
          <w:sz w:val="28"/>
          <w:szCs w:val="20"/>
          <w:highlight w:val="none"/>
        </w:rPr>
        <w:t xml:space="preserve">1. </w:t>
      </w:r>
      <w:r>
        <w:rPr>
          <w:rFonts w:hint="eastAsia" w:eastAsia="黑体" w:cs="宋体"/>
          <w:color w:val="000000"/>
          <w:sz w:val="28"/>
          <w:szCs w:val="20"/>
          <w:highlight w:val="none"/>
        </w:rPr>
        <w:t>评标方法</w:t>
      </w:r>
      <w:bookmarkEnd w:id="228"/>
      <w:bookmarkEnd w:id="229"/>
      <w:bookmarkEnd w:id="230"/>
      <w:bookmarkEnd w:id="231"/>
      <w:bookmarkEnd w:id="232"/>
      <w:bookmarkEnd w:id="233"/>
    </w:p>
    <w:p w14:paraId="6E20DEB0">
      <w:pPr>
        <w:spacing w:line="400" w:lineRule="exact"/>
        <w:ind w:firstLine="420" w:firstLineChars="200"/>
        <w:rPr>
          <w:color w:val="000000"/>
          <w:highlight w:val="none"/>
        </w:rPr>
      </w:pPr>
      <w:r>
        <w:rPr>
          <w:rFonts w:hint="eastAsia"/>
          <w:color w:val="000000"/>
          <w:highlight w:val="none"/>
        </w:rPr>
        <w:t>本次评标采用综合评估法。评标委员会对满足招标文件实质性要求的投标文件，按照本章第</w:t>
      </w:r>
      <w:r>
        <w:rPr>
          <w:color w:val="000000"/>
          <w:highlight w:val="none"/>
        </w:rPr>
        <w:t>2.2</w:t>
      </w:r>
      <w:r>
        <w:rPr>
          <w:rFonts w:hint="eastAsia"/>
          <w:color w:val="000000"/>
          <w:highlight w:val="none"/>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7D4C8255">
      <w:pPr>
        <w:keepNext/>
        <w:keepLines/>
        <w:spacing w:before="100" w:line="400" w:lineRule="exact"/>
        <w:outlineLvl w:val="1"/>
        <w:rPr>
          <w:rFonts w:eastAsia="黑体" w:cs="宋体"/>
          <w:color w:val="000000"/>
          <w:sz w:val="28"/>
          <w:szCs w:val="20"/>
          <w:highlight w:val="none"/>
        </w:rPr>
      </w:pPr>
      <w:bookmarkStart w:id="234" w:name="_Toc152042378"/>
      <w:bookmarkStart w:id="235" w:name="_Toc152045601"/>
      <w:bookmarkStart w:id="236" w:name="_Toc149833945"/>
      <w:bookmarkStart w:id="237" w:name="_Toc144974568"/>
      <w:bookmarkStart w:id="238" w:name="_Toc155799724"/>
      <w:bookmarkStart w:id="239" w:name="_Toc179632619"/>
      <w:r>
        <w:rPr>
          <w:rFonts w:eastAsia="黑体" w:cs="宋体"/>
          <w:color w:val="000000"/>
          <w:sz w:val="28"/>
          <w:szCs w:val="20"/>
          <w:highlight w:val="none"/>
        </w:rPr>
        <w:t xml:space="preserve">2. </w:t>
      </w:r>
      <w:r>
        <w:rPr>
          <w:rFonts w:hint="eastAsia" w:eastAsia="黑体" w:cs="宋体"/>
          <w:color w:val="000000"/>
          <w:sz w:val="28"/>
          <w:szCs w:val="20"/>
          <w:highlight w:val="none"/>
        </w:rPr>
        <w:t>评审标准</w:t>
      </w:r>
      <w:bookmarkEnd w:id="234"/>
      <w:bookmarkEnd w:id="235"/>
      <w:bookmarkEnd w:id="236"/>
      <w:bookmarkEnd w:id="237"/>
      <w:bookmarkEnd w:id="238"/>
      <w:bookmarkEnd w:id="239"/>
    </w:p>
    <w:p w14:paraId="3B41CF45">
      <w:pPr>
        <w:keepNext/>
        <w:keepLines/>
        <w:spacing w:line="400" w:lineRule="exact"/>
        <w:outlineLvl w:val="2"/>
        <w:rPr>
          <w:rFonts w:eastAsia="黑体" w:cs="宋体"/>
          <w:color w:val="000000"/>
          <w:sz w:val="24"/>
          <w:szCs w:val="20"/>
          <w:highlight w:val="none"/>
        </w:rPr>
      </w:pPr>
      <w:bookmarkStart w:id="240" w:name="_Toc144974569"/>
      <w:bookmarkStart w:id="241" w:name="_Toc152042379"/>
      <w:bookmarkStart w:id="242" w:name="_Toc179632620"/>
      <w:bookmarkStart w:id="243" w:name="_Toc152045602"/>
      <w:r>
        <w:rPr>
          <w:rFonts w:eastAsia="黑体" w:cs="宋体"/>
          <w:color w:val="000000"/>
          <w:sz w:val="24"/>
          <w:szCs w:val="20"/>
          <w:highlight w:val="none"/>
        </w:rPr>
        <w:t xml:space="preserve">2.1 </w:t>
      </w:r>
      <w:r>
        <w:rPr>
          <w:rFonts w:hint="eastAsia" w:eastAsia="黑体" w:cs="宋体"/>
          <w:color w:val="000000"/>
          <w:sz w:val="24"/>
          <w:szCs w:val="20"/>
          <w:highlight w:val="none"/>
        </w:rPr>
        <w:t>初步评审标准</w:t>
      </w:r>
      <w:bookmarkEnd w:id="240"/>
      <w:bookmarkEnd w:id="241"/>
      <w:bookmarkEnd w:id="242"/>
      <w:bookmarkEnd w:id="243"/>
    </w:p>
    <w:p w14:paraId="00A2BD57">
      <w:pPr>
        <w:spacing w:line="400" w:lineRule="exact"/>
        <w:ind w:firstLine="420" w:firstLineChars="200"/>
        <w:rPr>
          <w:rFonts w:hint="eastAsia"/>
          <w:color w:val="000000"/>
          <w:highlight w:val="none"/>
        </w:rPr>
      </w:pPr>
      <w:r>
        <w:rPr>
          <w:color w:val="000000"/>
          <w:highlight w:val="none"/>
        </w:rPr>
        <w:t>2.1.1</w:t>
      </w:r>
      <w:r>
        <w:rPr>
          <w:rFonts w:hint="eastAsia"/>
          <w:color w:val="000000"/>
          <w:highlight w:val="none"/>
        </w:rPr>
        <w:t>形式评审标准：见评标办法前附表。</w:t>
      </w:r>
    </w:p>
    <w:p w14:paraId="1C04DF5A">
      <w:pPr>
        <w:spacing w:line="400" w:lineRule="exact"/>
        <w:ind w:firstLine="420" w:firstLineChars="200"/>
        <w:rPr>
          <w:rFonts w:hint="eastAsia"/>
          <w:color w:val="000000"/>
          <w:highlight w:val="none"/>
        </w:rPr>
      </w:pPr>
      <w:r>
        <w:rPr>
          <w:color w:val="000000"/>
          <w:highlight w:val="none"/>
        </w:rPr>
        <w:t>2.1.</w:t>
      </w:r>
      <w:r>
        <w:rPr>
          <w:rFonts w:hint="eastAsia"/>
          <w:color w:val="000000"/>
          <w:highlight w:val="none"/>
        </w:rPr>
        <w:t>2资格评审标准：见评标办法前附表。</w:t>
      </w:r>
    </w:p>
    <w:p w14:paraId="163293A5">
      <w:pPr>
        <w:spacing w:line="400" w:lineRule="exact"/>
        <w:ind w:firstLine="420" w:firstLineChars="200"/>
        <w:rPr>
          <w:color w:val="000000"/>
          <w:highlight w:val="none"/>
        </w:rPr>
      </w:pPr>
      <w:r>
        <w:rPr>
          <w:color w:val="000000"/>
          <w:highlight w:val="none"/>
        </w:rPr>
        <w:t>2.1.</w:t>
      </w:r>
      <w:r>
        <w:rPr>
          <w:rFonts w:hint="eastAsia"/>
          <w:color w:val="000000"/>
          <w:highlight w:val="none"/>
        </w:rPr>
        <w:t>3响应性评审标准：见评标办法前附表。</w:t>
      </w:r>
    </w:p>
    <w:p w14:paraId="6A86FCF4">
      <w:pPr>
        <w:keepNext/>
        <w:keepLines/>
        <w:spacing w:line="400" w:lineRule="exact"/>
        <w:outlineLvl w:val="2"/>
        <w:rPr>
          <w:rFonts w:eastAsia="黑体" w:cs="宋体"/>
          <w:color w:val="000000"/>
          <w:sz w:val="24"/>
          <w:szCs w:val="20"/>
          <w:highlight w:val="none"/>
        </w:rPr>
      </w:pPr>
      <w:bookmarkStart w:id="244" w:name="_Toc179632621"/>
      <w:bookmarkStart w:id="245" w:name="_Toc152042380"/>
      <w:bookmarkStart w:id="246" w:name="_Toc152045603"/>
      <w:bookmarkStart w:id="247" w:name="_Toc144974570"/>
      <w:r>
        <w:rPr>
          <w:rFonts w:eastAsia="黑体" w:cs="宋体"/>
          <w:color w:val="000000"/>
          <w:sz w:val="24"/>
          <w:szCs w:val="20"/>
          <w:highlight w:val="none"/>
        </w:rPr>
        <w:t xml:space="preserve">2.2 </w:t>
      </w:r>
      <w:r>
        <w:rPr>
          <w:rFonts w:hint="eastAsia" w:eastAsia="黑体" w:cs="宋体"/>
          <w:color w:val="000000"/>
          <w:sz w:val="24"/>
          <w:szCs w:val="20"/>
          <w:highlight w:val="none"/>
        </w:rPr>
        <w:t>分值构成与评分标准</w:t>
      </w:r>
      <w:bookmarkEnd w:id="244"/>
      <w:bookmarkEnd w:id="245"/>
      <w:bookmarkEnd w:id="246"/>
      <w:bookmarkEnd w:id="247"/>
    </w:p>
    <w:p w14:paraId="7F760F78">
      <w:pPr>
        <w:spacing w:line="400" w:lineRule="exact"/>
        <w:ind w:firstLine="420" w:firstLineChars="200"/>
        <w:rPr>
          <w:color w:val="000000"/>
          <w:highlight w:val="none"/>
        </w:rPr>
      </w:pPr>
      <w:r>
        <w:rPr>
          <w:color w:val="000000"/>
          <w:highlight w:val="none"/>
        </w:rPr>
        <w:t xml:space="preserve">2.2.1 </w:t>
      </w:r>
      <w:r>
        <w:rPr>
          <w:rFonts w:hint="eastAsia"/>
          <w:color w:val="000000"/>
          <w:highlight w:val="none"/>
        </w:rPr>
        <w:t>分值构成</w:t>
      </w:r>
    </w:p>
    <w:p w14:paraId="2E50827A">
      <w:pPr>
        <w:spacing w:line="400" w:lineRule="exact"/>
        <w:ind w:firstLine="420" w:firstLineChars="200"/>
        <w:rPr>
          <w:color w:val="000000"/>
          <w:highlight w:val="none"/>
        </w:rPr>
      </w:pPr>
      <w:r>
        <w:rPr>
          <w:rFonts w:hint="eastAsia"/>
          <w:color w:val="000000"/>
          <w:highlight w:val="none"/>
        </w:rPr>
        <w:t>（</w:t>
      </w:r>
      <w:r>
        <w:rPr>
          <w:color w:val="000000"/>
          <w:highlight w:val="none"/>
        </w:rPr>
        <w:t>1</w:t>
      </w:r>
      <w:r>
        <w:rPr>
          <w:rFonts w:hint="eastAsia"/>
          <w:color w:val="000000"/>
          <w:highlight w:val="none"/>
        </w:rPr>
        <w:t>）技术标：见评标办法前附表；</w:t>
      </w:r>
      <w:r>
        <w:rPr>
          <w:color w:val="000000"/>
          <w:highlight w:val="none"/>
        </w:rPr>
        <w:t xml:space="preserve"> </w:t>
      </w:r>
    </w:p>
    <w:p w14:paraId="79B90324">
      <w:pPr>
        <w:spacing w:line="400" w:lineRule="exact"/>
        <w:ind w:firstLine="420" w:firstLineChars="200"/>
        <w:rPr>
          <w:color w:val="000000"/>
          <w:highlight w:val="none"/>
        </w:rPr>
      </w:pPr>
      <w:r>
        <w:rPr>
          <w:rFonts w:hint="eastAsia"/>
          <w:color w:val="000000"/>
          <w:highlight w:val="none"/>
        </w:rPr>
        <w:t>（</w:t>
      </w:r>
      <w:r>
        <w:rPr>
          <w:color w:val="000000"/>
          <w:highlight w:val="none"/>
        </w:rPr>
        <w:t>2</w:t>
      </w:r>
      <w:r>
        <w:rPr>
          <w:rFonts w:hint="eastAsia"/>
          <w:color w:val="000000"/>
          <w:highlight w:val="none"/>
        </w:rPr>
        <w:t>）商务标：见评标办法前附表；</w:t>
      </w:r>
    </w:p>
    <w:p w14:paraId="7DA4135F">
      <w:pPr>
        <w:spacing w:line="400" w:lineRule="exact"/>
        <w:ind w:firstLine="420" w:firstLineChars="200"/>
        <w:rPr>
          <w:color w:val="000000"/>
          <w:highlight w:val="none"/>
        </w:rPr>
      </w:pPr>
      <w:r>
        <w:rPr>
          <w:rFonts w:hint="eastAsia"/>
          <w:color w:val="000000"/>
          <w:highlight w:val="none"/>
        </w:rPr>
        <w:t>（</w:t>
      </w:r>
      <w:r>
        <w:rPr>
          <w:color w:val="000000"/>
          <w:highlight w:val="none"/>
        </w:rPr>
        <w:t>3</w:t>
      </w:r>
      <w:r>
        <w:rPr>
          <w:rFonts w:hint="eastAsia"/>
          <w:color w:val="000000"/>
          <w:highlight w:val="none"/>
        </w:rPr>
        <w:t>）综合标：见评标办法前附表；</w:t>
      </w:r>
      <w:r>
        <w:rPr>
          <w:color w:val="000000"/>
          <w:highlight w:val="none"/>
        </w:rPr>
        <w:t xml:space="preserve"> </w:t>
      </w:r>
    </w:p>
    <w:p w14:paraId="632B6643">
      <w:pPr>
        <w:spacing w:line="400" w:lineRule="exact"/>
        <w:ind w:firstLine="420" w:firstLineChars="200"/>
        <w:rPr>
          <w:color w:val="000000"/>
          <w:highlight w:val="none"/>
        </w:rPr>
      </w:pPr>
      <w:r>
        <w:rPr>
          <w:color w:val="000000"/>
          <w:highlight w:val="none"/>
        </w:rPr>
        <w:t xml:space="preserve">2.2.2 </w:t>
      </w:r>
      <w:r>
        <w:rPr>
          <w:rFonts w:hint="eastAsia"/>
          <w:color w:val="000000"/>
          <w:highlight w:val="none"/>
        </w:rPr>
        <w:t>评标基准价计算</w:t>
      </w:r>
    </w:p>
    <w:p w14:paraId="7248587A">
      <w:pPr>
        <w:spacing w:line="400" w:lineRule="exact"/>
        <w:ind w:firstLine="840" w:firstLineChars="400"/>
        <w:rPr>
          <w:color w:val="000000"/>
          <w:highlight w:val="none"/>
        </w:rPr>
      </w:pPr>
      <w:r>
        <w:rPr>
          <w:rFonts w:hint="eastAsia"/>
          <w:color w:val="000000"/>
          <w:highlight w:val="none"/>
        </w:rPr>
        <w:t>评标基准价计算方法：见评标办法前附表。</w:t>
      </w:r>
    </w:p>
    <w:p w14:paraId="6AAADAA9">
      <w:pPr>
        <w:spacing w:line="400" w:lineRule="exact"/>
        <w:ind w:firstLine="420" w:firstLineChars="200"/>
        <w:rPr>
          <w:color w:val="000000"/>
          <w:highlight w:val="none"/>
        </w:rPr>
      </w:pPr>
      <w:r>
        <w:rPr>
          <w:color w:val="000000"/>
          <w:highlight w:val="none"/>
        </w:rPr>
        <w:t xml:space="preserve">2.2.3 </w:t>
      </w:r>
      <w:r>
        <w:rPr>
          <w:rFonts w:hint="eastAsia"/>
          <w:color w:val="000000"/>
          <w:highlight w:val="none"/>
        </w:rPr>
        <w:t>投标报价的偏差率计算</w:t>
      </w:r>
    </w:p>
    <w:p w14:paraId="0060FAF6">
      <w:pPr>
        <w:spacing w:line="400" w:lineRule="exact"/>
        <w:ind w:firstLine="840" w:firstLineChars="400"/>
        <w:rPr>
          <w:color w:val="000000"/>
          <w:highlight w:val="none"/>
        </w:rPr>
      </w:pPr>
      <w:r>
        <w:rPr>
          <w:rFonts w:hint="eastAsia"/>
          <w:color w:val="000000"/>
          <w:highlight w:val="none"/>
        </w:rPr>
        <w:t>投标报价的偏差率计算公式：见评标办法前附表。</w:t>
      </w:r>
    </w:p>
    <w:p w14:paraId="72D63513">
      <w:pPr>
        <w:spacing w:line="400" w:lineRule="exact"/>
        <w:ind w:firstLine="420" w:firstLineChars="200"/>
        <w:rPr>
          <w:color w:val="000000"/>
          <w:highlight w:val="none"/>
        </w:rPr>
      </w:pPr>
      <w:r>
        <w:rPr>
          <w:color w:val="000000"/>
          <w:highlight w:val="none"/>
        </w:rPr>
        <w:t xml:space="preserve">2.2.4 </w:t>
      </w:r>
      <w:r>
        <w:rPr>
          <w:rFonts w:hint="eastAsia"/>
          <w:color w:val="000000"/>
          <w:highlight w:val="none"/>
        </w:rPr>
        <w:t>评分标准</w:t>
      </w:r>
    </w:p>
    <w:p w14:paraId="0C6716C3">
      <w:pPr>
        <w:spacing w:line="400" w:lineRule="exact"/>
        <w:ind w:firstLine="718" w:firstLineChars="342"/>
        <w:rPr>
          <w:color w:val="000000"/>
          <w:highlight w:val="none"/>
        </w:rPr>
      </w:pPr>
      <w:r>
        <w:rPr>
          <w:rFonts w:hint="eastAsia"/>
          <w:color w:val="000000"/>
          <w:highlight w:val="none"/>
        </w:rPr>
        <w:t>（</w:t>
      </w:r>
      <w:r>
        <w:rPr>
          <w:color w:val="000000"/>
          <w:highlight w:val="none"/>
        </w:rPr>
        <w:t>1</w:t>
      </w:r>
      <w:r>
        <w:rPr>
          <w:rFonts w:hint="eastAsia"/>
          <w:color w:val="000000"/>
          <w:highlight w:val="none"/>
        </w:rPr>
        <w:t>）技术标评分标准：见评标办法前附表；</w:t>
      </w:r>
    </w:p>
    <w:p w14:paraId="28A3B50E">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）商务标评分标准：见评标办法前附表；</w:t>
      </w:r>
    </w:p>
    <w:p w14:paraId="108ACC8D">
      <w:pPr>
        <w:spacing w:line="400" w:lineRule="exact"/>
        <w:ind w:firstLine="718" w:firstLineChars="342"/>
        <w:rPr>
          <w:color w:val="000000"/>
          <w:highlight w:val="none"/>
        </w:rPr>
      </w:pPr>
      <w:r>
        <w:rPr>
          <w:rFonts w:hint="eastAsia"/>
          <w:color w:val="000000"/>
          <w:highlight w:val="none"/>
        </w:rPr>
        <w:t>（</w:t>
      </w:r>
      <w:r>
        <w:rPr>
          <w:color w:val="000000"/>
          <w:highlight w:val="none"/>
        </w:rPr>
        <w:t>3</w:t>
      </w:r>
      <w:r>
        <w:rPr>
          <w:rFonts w:hint="eastAsia"/>
          <w:color w:val="000000"/>
          <w:highlight w:val="none"/>
        </w:rPr>
        <w:t>）综合标评分标准：见评标办法前附表；</w:t>
      </w:r>
    </w:p>
    <w:p w14:paraId="37E0F239">
      <w:pPr>
        <w:keepNext/>
        <w:keepLines/>
        <w:spacing w:before="100" w:line="400" w:lineRule="exact"/>
        <w:outlineLvl w:val="1"/>
        <w:rPr>
          <w:rFonts w:eastAsia="黑体" w:cs="宋体"/>
          <w:color w:val="000000"/>
          <w:sz w:val="28"/>
          <w:szCs w:val="20"/>
          <w:highlight w:val="none"/>
        </w:rPr>
      </w:pPr>
      <w:bookmarkStart w:id="248" w:name="_Toc149833946"/>
      <w:bookmarkStart w:id="249" w:name="_Toc155799725"/>
      <w:r>
        <w:rPr>
          <w:rFonts w:eastAsia="黑体" w:cs="宋体"/>
          <w:color w:val="000000"/>
          <w:sz w:val="28"/>
          <w:szCs w:val="20"/>
          <w:highlight w:val="none"/>
        </w:rPr>
        <w:t>3.</w:t>
      </w:r>
      <w:r>
        <w:rPr>
          <w:rFonts w:hint="eastAsia" w:eastAsia="黑体" w:cs="宋体"/>
          <w:color w:val="000000"/>
          <w:sz w:val="28"/>
          <w:szCs w:val="20"/>
          <w:highlight w:val="none"/>
        </w:rPr>
        <w:t>详细评审</w:t>
      </w:r>
      <w:bookmarkEnd w:id="248"/>
      <w:bookmarkEnd w:id="249"/>
    </w:p>
    <w:p w14:paraId="557A22BF">
      <w:pPr>
        <w:keepNext/>
        <w:keepLines/>
        <w:spacing w:line="400" w:lineRule="exact"/>
        <w:outlineLvl w:val="2"/>
        <w:rPr>
          <w:rFonts w:eastAsia="黑体" w:cs="宋体"/>
          <w:color w:val="000000"/>
          <w:sz w:val="24"/>
          <w:szCs w:val="20"/>
          <w:highlight w:val="none"/>
        </w:rPr>
      </w:pPr>
      <w:bookmarkStart w:id="250" w:name="_Toc152042382"/>
      <w:bookmarkStart w:id="251" w:name="_Toc144974572"/>
      <w:bookmarkStart w:id="252" w:name="_Toc152045605"/>
      <w:bookmarkStart w:id="253" w:name="_Toc179632623"/>
      <w:r>
        <w:rPr>
          <w:rFonts w:eastAsia="黑体" w:cs="宋体"/>
          <w:color w:val="000000"/>
          <w:sz w:val="24"/>
          <w:szCs w:val="20"/>
          <w:highlight w:val="none"/>
        </w:rPr>
        <w:t xml:space="preserve">3.1 </w:t>
      </w:r>
      <w:r>
        <w:rPr>
          <w:rFonts w:hint="eastAsia" w:eastAsia="黑体" w:cs="宋体"/>
          <w:color w:val="000000"/>
          <w:sz w:val="24"/>
          <w:szCs w:val="20"/>
          <w:highlight w:val="none"/>
        </w:rPr>
        <w:t>初步评审</w:t>
      </w:r>
      <w:bookmarkEnd w:id="250"/>
      <w:bookmarkEnd w:id="251"/>
      <w:bookmarkEnd w:id="252"/>
      <w:bookmarkEnd w:id="253"/>
    </w:p>
    <w:p w14:paraId="539E724E">
      <w:pPr>
        <w:spacing w:line="400" w:lineRule="exact"/>
        <w:ind w:firstLine="420" w:firstLineChars="200"/>
        <w:rPr>
          <w:color w:val="000000"/>
          <w:highlight w:val="none"/>
        </w:rPr>
      </w:pPr>
      <w:r>
        <w:rPr>
          <w:color w:val="000000"/>
          <w:highlight w:val="none"/>
        </w:rPr>
        <w:t>3.1.1</w:t>
      </w:r>
      <w:r>
        <w:rPr>
          <w:rFonts w:hint="eastAsia"/>
          <w:color w:val="000000"/>
          <w:highlight w:val="none"/>
        </w:rPr>
        <w:t>评标委员会依据本章第</w:t>
      </w:r>
      <w:r>
        <w:rPr>
          <w:color w:val="000000"/>
          <w:highlight w:val="none"/>
        </w:rPr>
        <w:t>2.1</w:t>
      </w:r>
      <w:r>
        <w:rPr>
          <w:rFonts w:hint="eastAsia"/>
          <w:color w:val="000000"/>
          <w:highlight w:val="none"/>
        </w:rPr>
        <w:t>款规定的标准对投标文件进行初步评审。有一项不符合评审标准的，</w:t>
      </w:r>
      <w:r>
        <w:rPr>
          <w:rFonts w:hint="eastAsia" w:ascii="宋体" w:hAnsi="宋体"/>
          <w:color w:val="000000"/>
          <w:szCs w:val="21"/>
          <w:highlight w:val="none"/>
        </w:rPr>
        <w:t>否决其投标</w:t>
      </w:r>
      <w:r>
        <w:rPr>
          <w:rFonts w:hint="eastAsia"/>
          <w:color w:val="000000"/>
          <w:highlight w:val="none"/>
        </w:rPr>
        <w:t>。</w:t>
      </w:r>
    </w:p>
    <w:p w14:paraId="0989E696">
      <w:pPr>
        <w:spacing w:line="400" w:lineRule="exact"/>
        <w:ind w:firstLine="420" w:firstLineChars="200"/>
        <w:rPr>
          <w:color w:val="000000"/>
          <w:highlight w:val="none"/>
        </w:rPr>
      </w:pPr>
      <w:r>
        <w:rPr>
          <w:color w:val="000000"/>
          <w:highlight w:val="none"/>
        </w:rPr>
        <w:t xml:space="preserve">3.1.2 </w:t>
      </w:r>
      <w:r>
        <w:rPr>
          <w:rFonts w:hint="eastAsia"/>
          <w:color w:val="000000"/>
          <w:highlight w:val="none"/>
        </w:rPr>
        <w:t>投标人有以下情形之一的，</w:t>
      </w:r>
      <w:r>
        <w:rPr>
          <w:rFonts w:hint="eastAsia" w:ascii="宋体" w:hAnsi="宋体"/>
          <w:color w:val="000000"/>
          <w:szCs w:val="21"/>
          <w:highlight w:val="none"/>
        </w:rPr>
        <w:t>否决其投标</w:t>
      </w:r>
      <w:r>
        <w:rPr>
          <w:rFonts w:hint="eastAsia"/>
          <w:color w:val="000000"/>
          <w:highlight w:val="none"/>
        </w:rPr>
        <w:t>：</w:t>
      </w:r>
    </w:p>
    <w:p w14:paraId="1BF344C9">
      <w:pPr>
        <w:spacing w:line="400" w:lineRule="exact"/>
        <w:ind w:firstLine="718" w:firstLineChars="342"/>
        <w:rPr>
          <w:color w:val="000000"/>
          <w:highlight w:val="none"/>
        </w:rPr>
      </w:pPr>
      <w:r>
        <w:rPr>
          <w:rFonts w:hint="eastAsia"/>
          <w:color w:val="000000"/>
          <w:highlight w:val="none"/>
        </w:rPr>
        <w:t>（</w:t>
      </w:r>
      <w:r>
        <w:rPr>
          <w:color w:val="000000"/>
          <w:highlight w:val="none"/>
        </w:rPr>
        <w:t>1</w:t>
      </w:r>
      <w:r>
        <w:rPr>
          <w:rFonts w:hint="eastAsia"/>
          <w:color w:val="000000"/>
          <w:highlight w:val="none"/>
        </w:rPr>
        <w:t>）第二章“投标人须知”第</w:t>
      </w:r>
      <w:r>
        <w:rPr>
          <w:color w:val="000000"/>
          <w:highlight w:val="none"/>
        </w:rPr>
        <w:t>1.4.3</w:t>
      </w:r>
      <w:r>
        <w:rPr>
          <w:rFonts w:hint="eastAsia"/>
          <w:color w:val="000000"/>
          <w:highlight w:val="none"/>
        </w:rPr>
        <w:t>项规定的任何一种情形的；</w:t>
      </w:r>
    </w:p>
    <w:p w14:paraId="0F1197F0">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）串通投标或弄虚作假或有其他违法行为的；</w:t>
      </w:r>
    </w:p>
    <w:p w14:paraId="126CF2BE">
      <w:pPr>
        <w:spacing w:line="400" w:lineRule="exact"/>
        <w:ind w:firstLine="718" w:firstLineChars="342"/>
        <w:rPr>
          <w:color w:val="000000"/>
          <w:highlight w:val="none"/>
        </w:rPr>
      </w:pPr>
      <w:r>
        <w:rPr>
          <w:rFonts w:hint="eastAsia"/>
          <w:color w:val="000000"/>
          <w:highlight w:val="none"/>
        </w:rPr>
        <w:t>（</w:t>
      </w:r>
      <w:r>
        <w:rPr>
          <w:color w:val="000000"/>
          <w:highlight w:val="none"/>
        </w:rPr>
        <w:t>3</w:t>
      </w:r>
      <w:r>
        <w:rPr>
          <w:rFonts w:hint="eastAsia"/>
          <w:color w:val="000000"/>
          <w:highlight w:val="none"/>
        </w:rPr>
        <w:t>）不按评标委员会要求澄清、说明或补正的。</w:t>
      </w:r>
    </w:p>
    <w:p w14:paraId="0D5E4B58">
      <w:pPr>
        <w:spacing w:line="400" w:lineRule="exact"/>
        <w:ind w:firstLine="420" w:firstLineChars="200"/>
        <w:rPr>
          <w:color w:val="000000"/>
          <w:highlight w:val="none"/>
        </w:rPr>
      </w:pPr>
      <w:r>
        <w:rPr>
          <w:color w:val="000000"/>
          <w:highlight w:val="none"/>
        </w:rPr>
        <w:t>3.1.3</w:t>
      </w:r>
      <w:r>
        <w:rPr>
          <w:rFonts w:hint="eastAsia"/>
          <w:color w:val="000000"/>
          <w:highlight w:val="none"/>
        </w:rPr>
        <w:t>投标报价有算术错误的，评标委员会按以下原则对投标报价进行修正，修正的价格经投标人书面确认后具有约束力。投标人不接受修正价格的，</w:t>
      </w:r>
      <w:r>
        <w:rPr>
          <w:rFonts w:hint="eastAsia" w:ascii="宋体" w:hAnsi="宋体"/>
          <w:color w:val="000000"/>
          <w:szCs w:val="21"/>
          <w:highlight w:val="none"/>
        </w:rPr>
        <w:t>否决其投标</w:t>
      </w:r>
      <w:r>
        <w:rPr>
          <w:rFonts w:hint="eastAsia"/>
          <w:color w:val="000000"/>
          <w:highlight w:val="none"/>
        </w:rPr>
        <w:t>。</w:t>
      </w:r>
    </w:p>
    <w:p w14:paraId="696ACEF2">
      <w:pPr>
        <w:spacing w:line="400" w:lineRule="exact"/>
        <w:ind w:firstLine="718" w:firstLineChars="342"/>
        <w:rPr>
          <w:color w:val="000000"/>
          <w:highlight w:val="none"/>
        </w:rPr>
      </w:pPr>
      <w:bookmarkStart w:id="254" w:name="_Toc152042383"/>
      <w:r>
        <w:rPr>
          <w:rFonts w:hint="eastAsia"/>
          <w:color w:val="000000"/>
          <w:highlight w:val="none"/>
        </w:rPr>
        <w:t>（</w:t>
      </w:r>
      <w:r>
        <w:rPr>
          <w:color w:val="000000"/>
          <w:highlight w:val="none"/>
        </w:rPr>
        <w:t>1</w:t>
      </w:r>
      <w:r>
        <w:rPr>
          <w:rFonts w:hint="eastAsia"/>
          <w:color w:val="000000"/>
          <w:highlight w:val="none"/>
        </w:rPr>
        <w:t>）投标文件中的大写金额与小写金额不一致的，以大写金额为准；</w:t>
      </w:r>
      <w:bookmarkEnd w:id="254"/>
    </w:p>
    <w:p w14:paraId="74503A7E">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）总价金额与依据单价计算出的结果不一致的，以单价金额为准修正总价，但单价金额小数点有明显错误的除外。</w:t>
      </w:r>
    </w:p>
    <w:p w14:paraId="0BA43D28">
      <w:pPr>
        <w:keepNext/>
        <w:keepLines/>
        <w:spacing w:line="400" w:lineRule="exact"/>
        <w:outlineLvl w:val="2"/>
        <w:rPr>
          <w:rFonts w:eastAsia="黑体" w:cs="宋体"/>
          <w:color w:val="000000"/>
          <w:sz w:val="24"/>
          <w:szCs w:val="20"/>
          <w:highlight w:val="none"/>
        </w:rPr>
      </w:pPr>
      <w:bookmarkStart w:id="255" w:name="_Toc144974573"/>
      <w:bookmarkStart w:id="256" w:name="_Toc152042384"/>
      <w:bookmarkStart w:id="257" w:name="_Toc152045606"/>
      <w:bookmarkStart w:id="258" w:name="_Toc179632624"/>
      <w:r>
        <w:rPr>
          <w:rFonts w:eastAsia="黑体" w:cs="宋体"/>
          <w:color w:val="000000"/>
          <w:sz w:val="24"/>
          <w:szCs w:val="20"/>
          <w:highlight w:val="none"/>
        </w:rPr>
        <w:t xml:space="preserve">3.2 </w:t>
      </w:r>
      <w:r>
        <w:rPr>
          <w:rFonts w:hint="eastAsia" w:eastAsia="黑体" w:cs="宋体"/>
          <w:color w:val="000000"/>
          <w:sz w:val="24"/>
          <w:szCs w:val="20"/>
          <w:highlight w:val="none"/>
        </w:rPr>
        <w:t>详细评审</w:t>
      </w:r>
      <w:bookmarkEnd w:id="255"/>
      <w:bookmarkEnd w:id="256"/>
      <w:bookmarkEnd w:id="257"/>
      <w:bookmarkEnd w:id="258"/>
    </w:p>
    <w:p w14:paraId="48E90FE7">
      <w:pPr>
        <w:spacing w:line="400" w:lineRule="exact"/>
        <w:ind w:firstLine="420" w:firstLineChars="200"/>
        <w:rPr>
          <w:color w:val="000000"/>
          <w:highlight w:val="none"/>
        </w:rPr>
      </w:pPr>
      <w:r>
        <w:rPr>
          <w:color w:val="000000"/>
          <w:highlight w:val="none"/>
        </w:rPr>
        <w:t xml:space="preserve">3.2.1 </w:t>
      </w:r>
      <w:r>
        <w:rPr>
          <w:rFonts w:hint="eastAsia"/>
          <w:color w:val="000000"/>
          <w:highlight w:val="none"/>
        </w:rPr>
        <w:t>评标委员会按本章第</w:t>
      </w:r>
      <w:r>
        <w:rPr>
          <w:color w:val="000000"/>
          <w:highlight w:val="none"/>
        </w:rPr>
        <w:t>2.2</w:t>
      </w:r>
      <w:r>
        <w:rPr>
          <w:rFonts w:hint="eastAsia"/>
          <w:color w:val="000000"/>
          <w:highlight w:val="none"/>
        </w:rPr>
        <w:t>款规定的量化因素和分值进行打分，并计算出综合评估得分。</w:t>
      </w:r>
    </w:p>
    <w:p w14:paraId="1A1DD4E3">
      <w:pPr>
        <w:spacing w:line="400" w:lineRule="exact"/>
        <w:ind w:firstLine="718" w:firstLineChars="342"/>
        <w:rPr>
          <w:color w:val="000000"/>
          <w:highlight w:val="none"/>
        </w:rPr>
      </w:pPr>
      <w:r>
        <w:rPr>
          <w:rFonts w:hint="eastAsia"/>
          <w:color w:val="000000"/>
          <w:highlight w:val="none"/>
        </w:rPr>
        <w:t>（</w:t>
      </w:r>
      <w:r>
        <w:rPr>
          <w:color w:val="000000"/>
          <w:highlight w:val="none"/>
        </w:rPr>
        <w:t>1</w:t>
      </w:r>
      <w:r>
        <w:rPr>
          <w:rFonts w:hint="eastAsia"/>
          <w:color w:val="000000"/>
          <w:highlight w:val="none"/>
        </w:rPr>
        <w:t>）按本章第</w:t>
      </w:r>
      <w:r>
        <w:rPr>
          <w:color w:val="000000"/>
          <w:highlight w:val="none"/>
        </w:rPr>
        <w:t>2.2.4</w:t>
      </w:r>
      <w:r>
        <w:rPr>
          <w:rFonts w:hint="eastAsia"/>
          <w:color w:val="000000"/>
          <w:highlight w:val="none"/>
        </w:rPr>
        <w:t>（</w:t>
      </w:r>
      <w:r>
        <w:rPr>
          <w:color w:val="000000"/>
          <w:highlight w:val="none"/>
        </w:rPr>
        <w:t>1</w:t>
      </w:r>
      <w:r>
        <w:rPr>
          <w:rFonts w:hint="eastAsia"/>
          <w:color w:val="000000"/>
          <w:highlight w:val="none"/>
        </w:rPr>
        <w:t>）目规定的评审因素和分值对技术标计算出得分</w:t>
      </w:r>
      <w:r>
        <w:rPr>
          <w:color w:val="000000"/>
          <w:highlight w:val="none"/>
        </w:rPr>
        <w:t>A</w:t>
      </w:r>
      <w:r>
        <w:rPr>
          <w:rFonts w:hint="eastAsia"/>
          <w:color w:val="000000"/>
          <w:highlight w:val="none"/>
        </w:rPr>
        <w:t>；</w:t>
      </w:r>
    </w:p>
    <w:p w14:paraId="210FB737">
      <w:pPr>
        <w:spacing w:line="400" w:lineRule="exact"/>
        <w:ind w:firstLine="718" w:firstLineChars="342"/>
        <w:rPr>
          <w:color w:val="000000"/>
          <w:highlight w:val="none"/>
        </w:rPr>
      </w:pPr>
      <w:r>
        <w:rPr>
          <w:rFonts w:hint="eastAsia"/>
          <w:color w:val="000000"/>
          <w:highlight w:val="none"/>
        </w:rPr>
        <w:t>（</w:t>
      </w:r>
      <w:r>
        <w:rPr>
          <w:color w:val="000000"/>
          <w:highlight w:val="none"/>
        </w:rPr>
        <w:t>2</w:t>
      </w:r>
      <w:r>
        <w:rPr>
          <w:rFonts w:hint="eastAsia"/>
          <w:color w:val="000000"/>
          <w:highlight w:val="none"/>
        </w:rPr>
        <w:t>）按本章第</w:t>
      </w:r>
      <w:r>
        <w:rPr>
          <w:color w:val="000000"/>
          <w:highlight w:val="none"/>
        </w:rPr>
        <w:t>2.2.4</w:t>
      </w:r>
      <w:r>
        <w:rPr>
          <w:rFonts w:hint="eastAsia"/>
          <w:color w:val="000000"/>
          <w:highlight w:val="none"/>
        </w:rPr>
        <w:t>（</w:t>
      </w:r>
      <w:r>
        <w:rPr>
          <w:color w:val="000000"/>
          <w:highlight w:val="none"/>
        </w:rPr>
        <w:t>2</w:t>
      </w:r>
      <w:r>
        <w:rPr>
          <w:rFonts w:hint="eastAsia"/>
          <w:color w:val="000000"/>
          <w:highlight w:val="none"/>
        </w:rPr>
        <w:t>）目规定的评审因素和分值对商务标计算出得分</w:t>
      </w:r>
      <w:r>
        <w:rPr>
          <w:color w:val="000000"/>
          <w:highlight w:val="none"/>
        </w:rPr>
        <w:t>B</w:t>
      </w:r>
      <w:r>
        <w:rPr>
          <w:rFonts w:hint="eastAsia"/>
          <w:color w:val="000000"/>
          <w:highlight w:val="none"/>
        </w:rPr>
        <w:t>；</w:t>
      </w:r>
    </w:p>
    <w:p w14:paraId="78B6A7DE">
      <w:pPr>
        <w:spacing w:line="400" w:lineRule="exact"/>
        <w:ind w:firstLine="718" w:firstLineChars="342"/>
        <w:rPr>
          <w:color w:val="000000"/>
          <w:highlight w:val="none"/>
        </w:rPr>
      </w:pPr>
      <w:r>
        <w:rPr>
          <w:rFonts w:hint="eastAsia"/>
          <w:color w:val="000000"/>
          <w:highlight w:val="none"/>
        </w:rPr>
        <w:t>（</w:t>
      </w:r>
      <w:r>
        <w:rPr>
          <w:color w:val="000000"/>
          <w:highlight w:val="none"/>
        </w:rPr>
        <w:t>3</w:t>
      </w:r>
      <w:r>
        <w:rPr>
          <w:rFonts w:hint="eastAsia"/>
          <w:color w:val="000000"/>
          <w:highlight w:val="none"/>
        </w:rPr>
        <w:t>）按本章第</w:t>
      </w:r>
      <w:r>
        <w:rPr>
          <w:color w:val="000000"/>
          <w:highlight w:val="none"/>
        </w:rPr>
        <w:t>2.2.4</w:t>
      </w:r>
      <w:r>
        <w:rPr>
          <w:rFonts w:hint="eastAsia"/>
          <w:color w:val="000000"/>
          <w:highlight w:val="none"/>
        </w:rPr>
        <w:t>（</w:t>
      </w:r>
      <w:r>
        <w:rPr>
          <w:color w:val="000000"/>
          <w:highlight w:val="none"/>
        </w:rPr>
        <w:t>3</w:t>
      </w:r>
      <w:r>
        <w:rPr>
          <w:rFonts w:hint="eastAsia"/>
          <w:color w:val="000000"/>
          <w:highlight w:val="none"/>
        </w:rPr>
        <w:t>）目规定的评审因素和分值对综合标计算出得分</w:t>
      </w:r>
      <w:r>
        <w:rPr>
          <w:color w:val="000000"/>
          <w:highlight w:val="none"/>
        </w:rPr>
        <w:t>C</w:t>
      </w:r>
      <w:r>
        <w:rPr>
          <w:rFonts w:hint="eastAsia"/>
          <w:color w:val="000000"/>
          <w:highlight w:val="none"/>
        </w:rPr>
        <w:t>。</w:t>
      </w:r>
    </w:p>
    <w:p w14:paraId="02940045">
      <w:pPr>
        <w:spacing w:line="400" w:lineRule="exact"/>
        <w:ind w:firstLine="420" w:firstLineChars="200"/>
        <w:rPr>
          <w:color w:val="000000"/>
          <w:highlight w:val="none"/>
        </w:rPr>
      </w:pPr>
      <w:r>
        <w:rPr>
          <w:color w:val="000000"/>
          <w:highlight w:val="none"/>
        </w:rPr>
        <w:t xml:space="preserve">3.2.2 </w:t>
      </w:r>
      <w:r>
        <w:rPr>
          <w:rFonts w:hint="eastAsia"/>
          <w:color w:val="000000"/>
          <w:highlight w:val="none"/>
        </w:rPr>
        <w:t>评分分值计算保留小数点后两位，小数点后第三位“四舍五入”。</w:t>
      </w:r>
    </w:p>
    <w:p w14:paraId="1E6C1A4A">
      <w:pPr>
        <w:spacing w:line="400" w:lineRule="exact"/>
        <w:ind w:firstLine="420" w:firstLineChars="200"/>
        <w:rPr>
          <w:color w:val="000000"/>
          <w:highlight w:val="none"/>
        </w:rPr>
      </w:pPr>
      <w:r>
        <w:rPr>
          <w:color w:val="000000"/>
          <w:highlight w:val="none"/>
        </w:rPr>
        <w:t xml:space="preserve">3.2.3 </w:t>
      </w:r>
      <w:r>
        <w:rPr>
          <w:rFonts w:hint="eastAsia"/>
          <w:color w:val="000000"/>
          <w:highlight w:val="none"/>
        </w:rPr>
        <w:t>投标人得分</w:t>
      </w:r>
      <w:r>
        <w:rPr>
          <w:color w:val="000000"/>
          <w:highlight w:val="none"/>
        </w:rPr>
        <w:t>=</w:t>
      </w:r>
      <w:r>
        <w:rPr>
          <w:rFonts w:hint="eastAsia"/>
          <w:color w:val="000000"/>
          <w:highlight w:val="none"/>
        </w:rPr>
        <w:t>技术标得分</w:t>
      </w:r>
      <w:r>
        <w:rPr>
          <w:color w:val="000000"/>
          <w:highlight w:val="none"/>
        </w:rPr>
        <w:t>+</w:t>
      </w:r>
      <w:r>
        <w:rPr>
          <w:rFonts w:hint="eastAsia"/>
          <w:color w:val="000000"/>
          <w:highlight w:val="none"/>
        </w:rPr>
        <w:t>商务标得分</w:t>
      </w:r>
      <w:r>
        <w:rPr>
          <w:color w:val="000000"/>
          <w:highlight w:val="none"/>
        </w:rPr>
        <w:t>+</w:t>
      </w:r>
      <w:r>
        <w:rPr>
          <w:rFonts w:hint="eastAsia"/>
          <w:color w:val="000000"/>
          <w:highlight w:val="none"/>
        </w:rPr>
        <w:t>综合标得分。</w:t>
      </w:r>
    </w:p>
    <w:p w14:paraId="207FB7E6">
      <w:pPr>
        <w:spacing w:line="400" w:lineRule="exact"/>
        <w:ind w:firstLine="420" w:firstLineChars="200"/>
        <w:rPr>
          <w:color w:val="000000"/>
          <w:highlight w:val="none"/>
        </w:rPr>
      </w:pPr>
      <w:r>
        <w:rPr>
          <w:rFonts w:hint="eastAsia"/>
          <w:color w:val="000000"/>
          <w:highlight w:val="none"/>
        </w:rPr>
        <w:t>投标人最终得分</w:t>
      </w:r>
      <w:r>
        <w:rPr>
          <w:color w:val="000000"/>
          <w:highlight w:val="none"/>
        </w:rPr>
        <w:t>=</w:t>
      </w:r>
      <w:r>
        <w:rPr>
          <w:rFonts w:hint="eastAsia"/>
          <w:color w:val="000000"/>
          <w:highlight w:val="none"/>
        </w:rPr>
        <w:t>各评标委员会打分之和的算数平均值。</w:t>
      </w:r>
    </w:p>
    <w:p w14:paraId="44B35593">
      <w:pPr>
        <w:spacing w:line="400" w:lineRule="exact"/>
        <w:ind w:firstLine="420" w:firstLineChars="200"/>
        <w:rPr>
          <w:color w:val="000000"/>
          <w:highlight w:val="none"/>
        </w:rPr>
      </w:pPr>
      <w:r>
        <w:rPr>
          <w:color w:val="000000"/>
          <w:highlight w:val="none"/>
        </w:rPr>
        <w:t xml:space="preserve">3.2.4 </w:t>
      </w:r>
      <w:r>
        <w:rPr>
          <w:rFonts w:hint="eastAsia"/>
          <w:color w:val="000000"/>
          <w:highlight w:val="none"/>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r>
        <w:rPr>
          <w:rFonts w:hint="eastAsia" w:ascii="宋体" w:hAnsi="宋体"/>
          <w:color w:val="000000"/>
          <w:szCs w:val="21"/>
          <w:highlight w:val="none"/>
        </w:rPr>
        <w:t>否决其投标</w:t>
      </w:r>
      <w:r>
        <w:rPr>
          <w:rFonts w:hint="eastAsia"/>
          <w:color w:val="000000"/>
          <w:highlight w:val="none"/>
        </w:rPr>
        <w:t>。</w:t>
      </w:r>
    </w:p>
    <w:p w14:paraId="46960399">
      <w:pPr>
        <w:keepNext/>
        <w:keepLines/>
        <w:spacing w:line="400" w:lineRule="exact"/>
        <w:outlineLvl w:val="2"/>
        <w:rPr>
          <w:rFonts w:eastAsia="黑体" w:cs="宋体"/>
          <w:color w:val="000000"/>
          <w:sz w:val="24"/>
          <w:szCs w:val="20"/>
          <w:highlight w:val="none"/>
        </w:rPr>
      </w:pPr>
      <w:bookmarkStart w:id="259" w:name="_Toc144974575"/>
      <w:bookmarkStart w:id="260" w:name="_Toc152045607"/>
      <w:bookmarkStart w:id="261" w:name="_Toc179632625"/>
      <w:bookmarkStart w:id="262" w:name="_Toc152042385"/>
      <w:r>
        <w:rPr>
          <w:rFonts w:eastAsia="黑体" w:cs="宋体"/>
          <w:color w:val="000000"/>
          <w:sz w:val="24"/>
          <w:szCs w:val="20"/>
          <w:highlight w:val="none"/>
        </w:rPr>
        <w:t xml:space="preserve">3.3 </w:t>
      </w:r>
      <w:r>
        <w:rPr>
          <w:rFonts w:hint="eastAsia" w:eastAsia="黑体" w:cs="宋体"/>
          <w:color w:val="000000"/>
          <w:sz w:val="24"/>
          <w:szCs w:val="20"/>
          <w:highlight w:val="none"/>
        </w:rPr>
        <w:t>投标文件的澄清</w:t>
      </w:r>
      <w:bookmarkEnd w:id="259"/>
      <w:r>
        <w:rPr>
          <w:rFonts w:hint="eastAsia" w:eastAsia="黑体" w:cs="宋体"/>
          <w:color w:val="000000"/>
          <w:sz w:val="24"/>
          <w:szCs w:val="20"/>
          <w:highlight w:val="none"/>
        </w:rPr>
        <w:t>和补正</w:t>
      </w:r>
      <w:bookmarkEnd w:id="260"/>
      <w:bookmarkEnd w:id="261"/>
      <w:bookmarkEnd w:id="262"/>
    </w:p>
    <w:p w14:paraId="763E305B">
      <w:pPr>
        <w:spacing w:line="400" w:lineRule="exact"/>
        <w:ind w:firstLine="420" w:firstLineChars="200"/>
        <w:rPr>
          <w:color w:val="000000"/>
          <w:highlight w:val="none"/>
        </w:rPr>
      </w:pPr>
      <w:r>
        <w:rPr>
          <w:color w:val="000000"/>
          <w:highlight w:val="none"/>
        </w:rPr>
        <w:t>3.3.1</w:t>
      </w:r>
      <w:r>
        <w:rPr>
          <w:rFonts w:hint="eastAsia"/>
          <w:color w:val="000000"/>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703487B6">
      <w:pPr>
        <w:spacing w:line="400" w:lineRule="exact"/>
        <w:ind w:firstLine="420" w:firstLineChars="200"/>
        <w:rPr>
          <w:color w:val="000000"/>
          <w:highlight w:val="none"/>
        </w:rPr>
      </w:pPr>
      <w:r>
        <w:rPr>
          <w:color w:val="000000"/>
          <w:highlight w:val="none"/>
        </w:rPr>
        <w:t xml:space="preserve">3.3.2 </w:t>
      </w:r>
      <w:r>
        <w:rPr>
          <w:rFonts w:hint="eastAsia"/>
          <w:color w:val="000000"/>
          <w:highlight w:val="none"/>
        </w:rPr>
        <w:t>澄清、说明和补正不得改变投标文件的实质性内容（算术性错误修正的除外）。投标人的书面澄清、说明和补正属于投标文件的组成部分。</w:t>
      </w:r>
    </w:p>
    <w:p w14:paraId="461F0C2B">
      <w:pPr>
        <w:spacing w:line="400" w:lineRule="exact"/>
        <w:ind w:firstLine="420" w:firstLineChars="200"/>
        <w:rPr>
          <w:color w:val="000000"/>
          <w:highlight w:val="none"/>
        </w:rPr>
      </w:pPr>
      <w:r>
        <w:rPr>
          <w:color w:val="000000"/>
          <w:highlight w:val="none"/>
        </w:rPr>
        <w:t xml:space="preserve">3.3.3 </w:t>
      </w:r>
      <w:r>
        <w:rPr>
          <w:rFonts w:hint="eastAsia"/>
          <w:color w:val="000000"/>
          <w:highlight w:val="none"/>
        </w:rPr>
        <w:t>评标委员会对投标人提交的澄清、说明或补正有疑问的，可以要求投标人进一步澄清、说明或补正，直至满足评标委员会的要求。</w:t>
      </w:r>
    </w:p>
    <w:p w14:paraId="4F39947C">
      <w:pPr>
        <w:keepNext/>
        <w:keepLines/>
        <w:spacing w:line="400" w:lineRule="exact"/>
        <w:outlineLvl w:val="2"/>
        <w:rPr>
          <w:rFonts w:eastAsia="黑体" w:cs="宋体"/>
          <w:color w:val="000000"/>
          <w:sz w:val="24"/>
          <w:szCs w:val="20"/>
          <w:highlight w:val="none"/>
        </w:rPr>
      </w:pPr>
      <w:bookmarkStart w:id="263" w:name="_Toc152045608"/>
      <w:bookmarkStart w:id="264" w:name="_Toc144974576"/>
      <w:bookmarkStart w:id="265" w:name="_Toc179632626"/>
      <w:bookmarkStart w:id="266" w:name="_Toc152042386"/>
      <w:r>
        <w:rPr>
          <w:rFonts w:eastAsia="黑体" w:cs="宋体"/>
          <w:color w:val="000000"/>
          <w:sz w:val="24"/>
          <w:szCs w:val="20"/>
          <w:highlight w:val="none"/>
        </w:rPr>
        <w:t xml:space="preserve">3.4 </w:t>
      </w:r>
      <w:r>
        <w:rPr>
          <w:rFonts w:hint="eastAsia" w:eastAsia="黑体" w:cs="宋体"/>
          <w:color w:val="000000"/>
          <w:sz w:val="24"/>
          <w:szCs w:val="20"/>
          <w:highlight w:val="none"/>
        </w:rPr>
        <w:t>评标结果</w:t>
      </w:r>
      <w:bookmarkEnd w:id="263"/>
      <w:bookmarkEnd w:id="264"/>
      <w:bookmarkEnd w:id="265"/>
      <w:bookmarkEnd w:id="266"/>
    </w:p>
    <w:p w14:paraId="36D05C91">
      <w:pPr>
        <w:spacing w:line="400" w:lineRule="exact"/>
        <w:ind w:firstLine="420" w:firstLineChars="200"/>
        <w:rPr>
          <w:color w:val="000000"/>
          <w:highlight w:val="none"/>
        </w:rPr>
      </w:pPr>
      <w:r>
        <w:rPr>
          <w:color w:val="000000"/>
          <w:highlight w:val="none"/>
        </w:rPr>
        <w:t>3.4.1</w:t>
      </w:r>
      <w:r>
        <w:rPr>
          <w:rFonts w:hint="eastAsia"/>
          <w:color w:val="000000"/>
          <w:highlight w:val="none"/>
        </w:rPr>
        <w:t>除第二章“投标人须知”前附表授权直接确定中标人外，评标委员会按照得分由高到低的顺序推荐中标候选人。</w:t>
      </w:r>
    </w:p>
    <w:p w14:paraId="219750D6">
      <w:pPr>
        <w:spacing w:line="400" w:lineRule="exact"/>
        <w:ind w:firstLine="420" w:firstLineChars="200"/>
        <w:rPr>
          <w:color w:val="000000"/>
          <w:highlight w:val="none"/>
        </w:rPr>
      </w:pPr>
      <w:r>
        <w:rPr>
          <w:color w:val="000000"/>
          <w:highlight w:val="none"/>
        </w:rPr>
        <w:t xml:space="preserve">3.4.2 </w:t>
      </w:r>
      <w:r>
        <w:rPr>
          <w:rFonts w:hint="eastAsia"/>
          <w:color w:val="000000"/>
          <w:highlight w:val="none"/>
        </w:rPr>
        <w:t>评标委员会完成评标后，应当向招标人提交书面评标报告。</w:t>
      </w:r>
    </w:p>
    <w:p w14:paraId="4949FE72">
      <w:pPr>
        <w:keepNext/>
        <w:keepLines/>
        <w:spacing w:before="100" w:line="400" w:lineRule="exact"/>
        <w:outlineLvl w:val="1"/>
        <w:rPr>
          <w:rFonts w:eastAsia="黑体" w:cs="宋体"/>
          <w:color w:val="000000"/>
          <w:sz w:val="28"/>
          <w:szCs w:val="20"/>
          <w:highlight w:val="none"/>
        </w:rPr>
      </w:pPr>
      <w:bookmarkStart w:id="267" w:name="_Toc155799726"/>
      <w:bookmarkStart w:id="268" w:name="_Toc149833947"/>
      <w:r>
        <w:rPr>
          <w:rFonts w:eastAsia="黑体" w:cs="宋体"/>
          <w:color w:val="000000"/>
          <w:sz w:val="28"/>
          <w:szCs w:val="20"/>
          <w:highlight w:val="none"/>
        </w:rPr>
        <w:t xml:space="preserve">4. </w:t>
      </w:r>
      <w:r>
        <w:rPr>
          <w:rFonts w:hint="eastAsia" w:eastAsia="黑体" w:cs="宋体"/>
          <w:color w:val="000000"/>
          <w:sz w:val="28"/>
          <w:szCs w:val="20"/>
          <w:highlight w:val="none"/>
        </w:rPr>
        <w:t>废标条件</w:t>
      </w:r>
      <w:bookmarkEnd w:id="267"/>
      <w:bookmarkEnd w:id="268"/>
    </w:p>
    <w:p w14:paraId="390B0F38">
      <w:pPr>
        <w:spacing w:after="120"/>
        <w:ind w:firstLine="210" w:firstLineChars="100"/>
        <w:rPr>
          <w:color w:val="000000"/>
          <w:highlight w:val="none"/>
        </w:rPr>
      </w:pPr>
      <w:r>
        <w:rPr>
          <w:rFonts w:hint="eastAsia"/>
          <w:color w:val="000000"/>
          <w:highlight w:val="none"/>
        </w:rPr>
        <w:t>投标人或其投标文件有下列情形之一的，其投标作废标处理：</w:t>
      </w:r>
    </w:p>
    <w:p w14:paraId="4E0E9895">
      <w:pPr>
        <w:spacing w:after="120"/>
        <w:ind w:firstLine="210" w:firstLineChars="100"/>
        <w:rPr>
          <w:color w:val="000000"/>
          <w:highlight w:val="none"/>
        </w:rPr>
      </w:pPr>
      <w:r>
        <w:rPr>
          <w:color w:val="000000"/>
          <w:highlight w:val="none"/>
        </w:rPr>
        <w:t xml:space="preserve">4.1 </w:t>
      </w:r>
      <w:r>
        <w:rPr>
          <w:rFonts w:hint="eastAsia"/>
          <w:color w:val="000000"/>
          <w:highlight w:val="none"/>
        </w:rPr>
        <w:t>有第二章“投标人须知”第</w:t>
      </w:r>
      <w:r>
        <w:rPr>
          <w:color w:val="000000"/>
          <w:highlight w:val="none"/>
        </w:rPr>
        <w:t>1.4.3</w:t>
      </w:r>
      <w:r>
        <w:rPr>
          <w:rFonts w:hint="eastAsia"/>
          <w:color w:val="000000"/>
          <w:highlight w:val="none"/>
        </w:rPr>
        <w:t>项规定的任何一种情形的。</w:t>
      </w:r>
    </w:p>
    <w:p w14:paraId="60BD0E26">
      <w:pPr>
        <w:spacing w:after="120"/>
        <w:ind w:firstLine="210" w:firstLineChars="100"/>
        <w:rPr>
          <w:color w:val="000000"/>
          <w:highlight w:val="none"/>
        </w:rPr>
      </w:pPr>
      <w:r>
        <w:rPr>
          <w:color w:val="000000"/>
          <w:highlight w:val="none"/>
        </w:rPr>
        <w:t xml:space="preserve">4.2 </w:t>
      </w:r>
      <w:r>
        <w:rPr>
          <w:rFonts w:hint="eastAsia"/>
          <w:color w:val="000000"/>
          <w:highlight w:val="none"/>
        </w:rPr>
        <w:t>有串通投标或弄虚作假或有其他违法行为的。</w:t>
      </w:r>
    </w:p>
    <w:p w14:paraId="015D9F47">
      <w:pPr>
        <w:spacing w:after="120"/>
        <w:ind w:firstLine="210" w:firstLineChars="100"/>
        <w:rPr>
          <w:color w:val="000000"/>
          <w:highlight w:val="none"/>
        </w:rPr>
      </w:pPr>
      <w:r>
        <w:rPr>
          <w:color w:val="000000"/>
          <w:highlight w:val="none"/>
        </w:rPr>
        <w:t xml:space="preserve">4.3 </w:t>
      </w:r>
      <w:r>
        <w:rPr>
          <w:rFonts w:hint="eastAsia"/>
          <w:color w:val="000000"/>
          <w:highlight w:val="none"/>
        </w:rPr>
        <w:t>不按评标委员会要求澄清、说明或补正的。</w:t>
      </w:r>
    </w:p>
    <w:p w14:paraId="3067AD48">
      <w:pPr>
        <w:spacing w:after="120"/>
        <w:ind w:firstLine="210" w:firstLineChars="100"/>
        <w:rPr>
          <w:color w:val="000000"/>
          <w:highlight w:val="none"/>
        </w:rPr>
      </w:pPr>
      <w:r>
        <w:rPr>
          <w:color w:val="000000"/>
          <w:highlight w:val="none"/>
        </w:rPr>
        <w:t xml:space="preserve">4.4 </w:t>
      </w:r>
      <w:r>
        <w:rPr>
          <w:rFonts w:hint="eastAsia"/>
          <w:color w:val="000000"/>
          <w:highlight w:val="none"/>
        </w:rPr>
        <w:t>在形式评审、资格评审、响应性评审中，评标委员会认定投标人的投标文件不符合评标办法前附表中规定的任何一项评审标准的。</w:t>
      </w:r>
    </w:p>
    <w:p w14:paraId="27A0E5FA">
      <w:pPr>
        <w:spacing w:after="120"/>
        <w:ind w:firstLine="210" w:firstLineChars="100"/>
        <w:rPr>
          <w:rFonts w:hint="eastAsia"/>
          <w:color w:val="000000"/>
          <w:highlight w:val="none"/>
        </w:rPr>
      </w:pPr>
      <w:r>
        <w:rPr>
          <w:color w:val="000000"/>
          <w:highlight w:val="none"/>
        </w:rPr>
        <w:t>4.5</w:t>
      </w:r>
      <w:r>
        <w:rPr>
          <w:rFonts w:hint="eastAsia"/>
          <w:color w:val="000000"/>
          <w:highlight w:val="none"/>
        </w:rPr>
        <w:t>评标委员会认定投标人以低于成本报价竞标的。</w:t>
      </w:r>
    </w:p>
    <w:p w14:paraId="477DCA05">
      <w:pPr>
        <w:spacing w:after="120"/>
        <w:ind w:firstLine="210" w:firstLineChars="100"/>
        <w:rPr>
          <w:color w:val="000000"/>
          <w:highlight w:val="none"/>
        </w:rPr>
      </w:pPr>
      <w:r>
        <w:rPr>
          <w:rFonts w:hint="eastAsia"/>
          <w:color w:val="000000"/>
          <w:highlight w:val="none"/>
        </w:rPr>
        <w:t>4.6有下列情形之一的，视为投标人相互串通投标：</w:t>
      </w:r>
    </w:p>
    <w:p w14:paraId="00DE4735">
      <w:pPr>
        <w:spacing w:after="120"/>
        <w:ind w:firstLine="210" w:firstLineChars="100"/>
        <w:rPr>
          <w:color w:val="000000"/>
          <w:highlight w:val="none"/>
        </w:rPr>
      </w:pPr>
      <w:r>
        <w:rPr>
          <w:rFonts w:hint="eastAsia"/>
          <w:color w:val="000000"/>
          <w:highlight w:val="none"/>
        </w:rPr>
        <w:t>（1）不同投标人的投标文件由同一单位或者个人编制；</w:t>
      </w:r>
    </w:p>
    <w:p w14:paraId="5345E961">
      <w:pPr>
        <w:spacing w:after="120"/>
        <w:ind w:firstLine="210" w:firstLineChars="100"/>
        <w:rPr>
          <w:color w:val="000000"/>
          <w:highlight w:val="none"/>
        </w:rPr>
      </w:pPr>
      <w:r>
        <w:rPr>
          <w:rFonts w:hint="eastAsia"/>
          <w:color w:val="000000"/>
          <w:highlight w:val="none"/>
        </w:rPr>
        <w:t>（2）不同投标人委托同一单位或者个人办理投标事宜；</w:t>
      </w:r>
    </w:p>
    <w:p w14:paraId="2D0FF2E1">
      <w:pPr>
        <w:spacing w:after="120"/>
        <w:ind w:firstLine="210" w:firstLineChars="100"/>
        <w:rPr>
          <w:color w:val="000000"/>
          <w:highlight w:val="none"/>
        </w:rPr>
      </w:pPr>
      <w:r>
        <w:rPr>
          <w:rFonts w:hint="eastAsia"/>
          <w:color w:val="000000"/>
          <w:highlight w:val="none"/>
        </w:rPr>
        <w:t>（3）不同投标人的投标文件载明的项目管理成员或者联系人员为同一人；</w:t>
      </w:r>
    </w:p>
    <w:p w14:paraId="666B6BB5">
      <w:pPr>
        <w:spacing w:after="120"/>
        <w:ind w:firstLine="210" w:firstLineChars="100"/>
        <w:rPr>
          <w:color w:val="000000"/>
          <w:highlight w:val="none"/>
        </w:rPr>
      </w:pPr>
      <w:r>
        <w:rPr>
          <w:rFonts w:hint="eastAsia"/>
          <w:color w:val="000000"/>
          <w:highlight w:val="none"/>
        </w:rPr>
        <w:t>（4）不同投标人的投标文件异常一致或者投标报价呈规律性差异；</w:t>
      </w:r>
    </w:p>
    <w:p w14:paraId="5B5FDC80">
      <w:pPr>
        <w:spacing w:after="120"/>
        <w:ind w:firstLine="210" w:firstLineChars="100"/>
        <w:rPr>
          <w:color w:val="000000"/>
          <w:highlight w:val="none"/>
        </w:rPr>
      </w:pPr>
      <w:r>
        <w:rPr>
          <w:rFonts w:hint="eastAsia"/>
          <w:color w:val="000000"/>
          <w:highlight w:val="none"/>
        </w:rPr>
        <w:t>（5）不同投标人的投标文件相互混装；</w:t>
      </w:r>
    </w:p>
    <w:p w14:paraId="1A6475B0">
      <w:pPr>
        <w:spacing w:after="120"/>
        <w:ind w:firstLine="210" w:firstLineChars="100"/>
        <w:rPr>
          <w:color w:val="000000"/>
          <w:highlight w:val="none"/>
        </w:rPr>
      </w:pPr>
      <w:r>
        <w:rPr>
          <w:rFonts w:hint="eastAsia"/>
          <w:color w:val="000000"/>
          <w:highlight w:val="none"/>
        </w:rPr>
        <w:t>（6）不同投标人的投标保证金从同一单位或者个人的账户转出。</w:t>
      </w:r>
    </w:p>
    <w:p w14:paraId="4A968CEC">
      <w:pPr>
        <w:spacing w:after="120"/>
        <w:ind w:firstLine="210" w:firstLineChars="100"/>
        <w:rPr>
          <w:color w:val="000000"/>
          <w:highlight w:val="none"/>
        </w:rPr>
      </w:pPr>
      <w:r>
        <w:rPr>
          <w:rFonts w:hint="eastAsia"/>
          <w:color w:val="000000"/>
          <w:highlight w:val="none"/>
        </w:rPr>
        <w:t>4.7、有下列情形之一的，属于提供虚假材料谋取中标的行为：</w:t>
      </w:r>
    </w:p>
    <w:p w14:paraId="3B47328D">
      <w:pPr>
        <w:spacing w:after="120"/>
        <w:ind w:firstLine="210" w:firstLineChars="100"/>
        <w:rPr>
          <w:color w:val="000000"/>
          <w:highlight w:val="none"/>
        </w:rPr>
      </w:pPr>
      <w:r>
        <w:rPr>
          <w:rFonts w:hint="eastAsia"/>
          <w:color w:val="000000"/>
          <w:highlight w:val="none"/>
        </w:rPr>
        <w:t>（1）使用伪造、变造的许可证件；</w:t>
      </w:r>
    </w:p>
    <w:p w14:paraId="53799E20">
      <w:pPr>
        <w:spacing w:after="120"/>
        <w:ind w:firstLine="210" w:firstLineChars="100"/>
        <w:rPr>
          <w:color w:val="000000"/>
          <w:highlight w:val="none"/>
        </w:rPr>
      </w:pPr>
      <w:r>
        <w:rPr>
          <w:rFonts w:hint="eastAsia"/>
          <w:color w:val="000000"/>
          <w:highlight w:val="none"/>
        </w:rPr>
        <w:t>（2）提供虚假的财务状况或者业绩；</w:t>
      </w:r>
    </w:p>
    <w:p w14:paraId="786876DF">
      <w:pPr>
        <w:spacing w:after="120"/>
        <w:ind w:firstLine="210" w:firstLineChars="100"/>
        <w:rPr>
          <w:color w:val="000000"/>
          <w:highlight w:val="none"/>
        </w:rPr>
      </w:pPr>
      <w:r>
        <w:rPr>
          <w:rFonts w:hint="eastAsia"/>
          <w:color w:val="000000"/>
          <w:highlight w:val="none"/>
        </w:rPr>
        <w:t>（3）提供虚假的项目负责人或者主要技术人员简历、劳动关系证明；</w:t>
      </w:r>
    </w:p>
    <w:p w14:paraId="02AEB1D2">
      <w:pPr>
        <w:spacing w:after="120"/>
        <w:ind w:firstLine="210" w:firstLineChars="100"/>
        <w:rPr>
          <w:color w:val="000000"/>
          <w:highlight w:val="none"/>
        </w:rPr>
      </w:pPr>
      <w:r>
        <w:rPr>
          <w:rFonts w:hint="eastAsia"/>
          <w:color w:val="000000"/>
          <w:highlight w:val="none"/>
        </w:rPr>
        <w:t>（4）提供虚假的信用状况；</w:t>
      </w:r>
    </w:p>
    <w:p w14:paraId="46CD055B">
      <w:pPr>
        <w:spacing w:after="120"/>
        <w:ind w:firstLine="210" w:firstLineChars="100"/>
        <w:rPr>
          <w:color w:val="000000"/>
          <w:highlight w:val="none"/>
        </w:rPr>
      </w:pPr>
      <w:r>
        <w:rPr>
          <w:rFonts w:hint="eastAsia"/>
          <w:color w:val="000000"/>
          <w:highlight w:val="none"/>
        </w:rPr>
        <w:t>（5）其他弄虚作假的行为。</w:t>
      </w:r>
    </w:p>
    <w:p w14:paraId="4F2A5D30">
      <w:pPr>
        <w:spacing w:after="120"/>
        <w:ind w:firstLine="210" w:firstLineChars="100"/>
        <w:rPr>
          <w:color w:val="000000"/>
          <w:highlight w:val="none"/>
        </w:rPr>
      </w:pPr>
      <w:r>
        <w:rPr>
          <w:rFonts w:hint="eastAsia"/>
          <w:color w:val="000000"/>
          <w:highlight w:val="none"/>
        </w:rPr>
        <w:t>4.8、参与同一个标段（包）的投标人存在下列情形之一的，其投标（响应）文件无效：</w:t>
      </w:r>
    </w:p>
    <w:p w14:paraId="52D52E1C">
      <w:pPr>
        <w:spacing w:after="120"/>
        <w:ind w:firstLine="210" w:firstLineChars="100"/>
        <w:rPr>
          <w:color w:val="000000"/>
          <w:highlight w:val="none"/>
        </w:rPr>
      </w:pPr>
      <w:r>
        <w:rPr>
          <w:rFonts w:hint="eastAsia"/>
          <w:color w:val="000000"/>
          <w:highlight w:val="none"/>
        </w:rPr>
        <w:t>（1）不同投标人的电子投标（响应）文件上传计算机的网卡MAC地址、CPU序列号和硬盘序列号等硬件信息相同的；</w:t>
      </w:r>
    </w:p>
    <w:p w14:paraId="5C403624">
      <w:pPr>
        <w:spacing w:after="120"/>
        <w:ind w:firstLine="210" w:firstLineChars="100"/>
        <w:rPr>
          <w:color w:val="000000"/>
          <w:highlight w:val="none"/>
        </w:rPr>
      </w:pPr>
      <w:r>
        <w:rPr>
          <w:rFonts w:hint="eastAsia"/>
          <w:color w:val="000000"/>
          <w:highlight w:val="none"/>
        </w:rPr>
        <w:t>（2）不同投标人的投标（响应）文件由同一电子设备编制、打印加密或者上传：</w:t>
      </w:r>
    </w:p>
    <w:p w14:paraId="16A8AA2F">
      <w:pPr>
        <w:spacing w:after="120"/>
        <w:ind w:firstLine="210" w:firstLineChars="100"/>
        <w:rPr>
          <w:color w:val="000000"/>
          <w:highlight w:val="none"/>
        </w:rPr>
      </w:pPr>
      <w:r>
        <w:rPr>
          <w:rFonts w:hint="eastAsia"/>
          <w:color w:val="000000"/>
          <w:highlight w:val="none"/>
        </w:rPr>
        <w:t>（3）不同投标人的投标（响应）文件由同一电子设备打印、复印；</w:t>
      </w:r>
    </w:p>
    <w:p w14:paraId="50D5C648">
      <w:pPr>
        <w:spacing w:after="120"/>
        <w:ind w:firstLine="210" w:firstLineChars="100"/>
        <w:rPr>
          <w:color w:val="000000"/>
          <w:highlight w:val="none"/>
        </w:rPr>
      </w:pPr>
      <w:r>
        <w:rPr>
          <w:rFonts w:hint="eastAsia"/>
          <w:color w:val="000000"/>
          <w:highlight w:val="none"/>
        </w:rPr>
        <w:t>（4）不同投标人的投标（响应）文件由同一人送达或者分发，或者不同投标人联系人为同一人或不同联系人的联系电话一致的；</w:t>
      </w:r>
    </w:p>
    <w:p w14:paraId="384B1717">
      <w:pPr>
        <w:spacing w:after="120"/>
        <w:ind w:firstLine="210" w:firstLineChars="100"/>
        <w:rPr>
          <w:color w:val="000000"/>
          <w:highlight w:val="none"/>
        </w:rPr>
      </w:pPr>
      <w:r>
        <w:rPr>
          <w:rFonts w:hint="eastAsia"/>
          <w:color w:val="000000"/>
          <w:highlight w:val="none"/>
        </w:rPr>
        <w:t>（5）不同投标人的投标（响应）文件的内容存在两处以上细节错误一致：</w:t>
      </w:r>
    </w:p>
    <w:p w14:paraId="6C3957B8">
      <w:pPr>
        <w:spacing w:after="120"/>
        <w:ind w:firstLine="210" w:firstLineChars="100"/>
        <w:rPr>
          <w:color w:val="000000"/>
          <w:highlight w:val="none"/>
        </w:rPr>
      </w:pPr>
      <w:r>
        <w:rPr>
          <w:rFonts w:hint="eastAsia"/>
          <w:color w:val="000000"/>
          <w:highlight w:val="none"/>
        </w:rPr>
        <w:t>（6）不同投标人的法定代表人、委托代理人、项目经理、项目负责人等由同一个单位缴纳社会保险或者领取报酬的；</w:t>
      </w:r>
    </w:p>
    <w:p w14:paraId="64D6A8F8">
      <w:pPr>
        <w:spacing w:after="120"/>
        <w:ind w:firstLine="210" w:firstLineChars="100"/>
        <w:rPr>
          <w:color w:val="000000"/>
          <w:highlight w:val="none"/>
        </w:rPr>
      </w:pPr>
      <w:r>
        <w:rPr>
          <w:rFonts w:hint="eastAsia"/>
          <w:color w:val="000000"/>
          <w:highlight w:val="none"/>
        </w:rPr>
        <w:t>（7）不同投标人投标（响应）文件中法定代表人或者负责人签字出自同一人之手；</w:t>
      </w:r>
    </w:p>
    <w:p w14:paraId="497BED16">
      <w:pPr>
        <w:spacing w:after="120"/>
        <w:ind w:firstLine="210" w:firstLineChars="100"/>
        <w:rPr>
          <w:color w:val="000000"/>
          <w:highlight w:val="none"/>
        </w:rPr>
      </w:pPr>
      <w:r>
        <w:rPr>
          <w:rFonts w:hint="eastAsia"/>
          <w:color w:val="000000"/>
          <w:highlight w:val="none"/>
        </w:rPr>
        <w:t>（8）其它涉嫌串通的情形。</w:t>
      </w:r>
    </w:p>
    <w:p w14:paraId="293980E6">
      <w:pPr>
        <w:rPr>
          <w:color w:val="000000"/>
          <w:highlight w:val="none"/>
        </w:rPr>
      </w:pPr>
    </w:p>
    <w:p w14:paraId="52C3D1FE">
      <w:pPr>
        <w:rPr>
          <w:color w:val="000000"/>
          <w:highlight w:val="none"/>
        </w:rPr>
      </w:pPr>
    </w:p>
    <w:p w14:paraId="3B9626E9">
      <w:pPr>
        <w:rPr>
          <w:color w:val="000000"/>
          <w:highlight w:val="none"/>
        </w:rPr>
      </w:pPr>
    </w:p>
    <w:p w14:paraId="0926B143">
      <w:pPr>
        <w:rPr>
          <w:color w:val="000000"/>
          <w:highlight w:val="none"/>
        </w:rPr>
      </w:pPr>
    </w:p>
    <w:p w14:paraId="6E7F23DB">
      <w:pPr>
        <w:rPr>
          <w:rFonts w:hint="eastAsia"/>
          <w:color w:val="000000"/>
          <w:highlight w:val="none"/>
        </w:rPr>
      </w:pPr>
    </w:p>
    <w:p w14:paraId="41D05F1E">
      <w:pPr>
        <w:keepNext/>
        <w:keepLines/>
        <w:spacing w:before="340" w:after="330"/>
        <w:jc w:val="center"/>
        <w:outlineLvl w:val="0"/>
        <w:rPr>
          <w:rFonts w:ascii="黑体" w:eastAsia="黑体"/>
          <w:b/>
          <w:bCs/>
          <w:color w:val="000000"/>
          <w:kern w:val="44"/>
          <w:sz w:val="32"/>
          <w:szCs w:val="32"/>
          <w:highlight w:val="none"/>
        </w:rPr>
      </w:pPr>
      <w:bookmarkStart w:id="269" w:name="_Toc155799727"/>
      <w:r>
        <w:rPr>
          <w:rFonts w:hint="eastAsia" w:ascii="黑体" w:eastAsia="黑体"/>
          <w:b/>
          <w:bCs/>
          <w:color w:val="000000"/>
          <w:kern w:val="44"/>
          <w:sz w:val="32"/>
          <w:szCs w:val="32"/>
          <w:highlight w:val="none"/>
        </w:rPr>
        <w:t>第四章  合同条款及格式</w:t>
      </w:r>
      <w:bookmarkEnd w:id="269"/>
    </w:p>
    <w:p w14:paraId="57002004">
      <w:pPr>
        <w:jc w:val="center"/>
        <w:rPr>
          <w:rFonts w:hint="eastAsia" w:eastAsia="宋体"/>
          <w:b/>
          <w:color w:val="000000"/>
          <w:highlight w:val="none"/>
          <w:lang w:eastAsia="zh-CN"/>
        </w:rPr>
      </w:pPr>
      <w:r>
        <w:rPr>
          <w:rFonts w:hint="eastAsia"/>
          <w:b/>
          <w:color w:val="000000"/>
          <w:highlight w:val="none"/>
          <w:lang w:eastAsia="zh-CN"/>
        </w:rPr>
        <w:t>（</w:t>
      </w:r>
      <w:r>
        <w:rPr>
          <w:rFonts w:hint="eastAsia"/>
          <w:b/>
          <w:color w:val="000000"/>
          <w:highlight w:val="none"/>
        </w:rPr>
        <w:t>以双方实际签订合同为准</w:t>
      </w:r>
      <w:r>
        <w:rPr>
          <w:rFonts w:hint="eastAsia"/>
          <w:b/>
          <w:color w:val="000000"/>
          <w:highlight w:val="none"/>
          <w:lang w:eastAsia="zh-CN"/>
        </w:rPr>
        <w:t>）</w:t>
      </w:r>
    </w:p>
    <w:p w14:paraId="31CD473C">
      <w:pPr>
        <w:spacing w:line="360" w:lineRule="auto"/>
        <w:rPr>
          <w:color w:val="000000"/>
          <w:sz w:val="40"/>
          <w:szCs w:val="40"/>
          <w:highlight w:val="none"/>
        </w:rPr>
      </w:pPr>
      <w:r>
        <w:rPr>
          <w:rFonts w:hint="eastAsia"/>
          <w:color w:val="000000"/>
          <w:highlight w:val="none"/>
        </w:rPr>
        <w:t xml:space="preserve">         </w:t>
      </w:r>
      <w:r>
        <w:rPr>
          <w:rFonts w:hint="eastAsia"/>
          <w:color w:val="000000"/>
          <w:sz w:val="40"/>
          <w:szCs w:val="40"/>
          <w:highlight w:val="none"/>
        </w:rPr>
        <w:t xml:space="preserve">      </w:t>
      </w:r>
      <w:bookmarkStart w:id="270" w:name="_Toc152045771"/>
      <w:bookmarkStart w:id="271" w:name="_Toc8387"/>
      <w:bookmarkStart w:id="272" w:name="_Toc152042553"/>
      <w:bookmarkStart w:id="273" w:name="_Toc334881528"/>
      <w:bookmarkStart w:id="274" w:name="_Toc144974831"/>
      <w:bookmarkStart w:id="275" w:name="_Toc144974833"/>
      <w:bookmarkStart w:id="276" w:name="_Toc266885734"/>
      <w:r>
        <w:rPr>
          <w:rFonts w:hint="eastAsia"/>
          <w:color w:val="000000"/>
          <w:highlight w:val="none"/>
        </w:rPr>
        <w:t xml:space="preserve">         </w:t>
      </w:r>
      <w:r>
        <w:rPr>
          <w:rFonts w:hint="eastAsia"/>
          <w:color w:val="000000"/>
          <w:sz w:val="40"/>
          <w:szCs w:val="40"/>
          <w:highlight w:val="none"/>
        </w:rPr>
        <w:t xml:space="preserve">                                                                                           </w:t>
      </w:r>
    </w:p>
    <w:p w14:paraId="1847F99C">
      <w:pPr>
        <w:autoSpaceDE w:val="0"/>
        <w:autoSpaceDN w:val="0"/>
        <w:adjustRightInd w:val="0"/>
        <w:spacing w:line="420" w:lineRule="exact"/>
        <w:jc w:val="center"/>
        <w:rPr>
          <w:rFonts w:hint="eastAsia" w:ascii="宋体" w:hAnsi="宋体" w:eastAsia="宋体" w:cs="宋体"/>
          <w:color w:val="000000"/>
          <w:kern w:val="0"/>
          <w:sz w:val="28"/>
          <w:szCs w:val="28"/>
          <w:highlight w:val="none"/>
        </w:rPr>
      </w:pPr>
      <w:bookmarkStart w:id="277" w:name="_Toc424747150"/>
      <w:bookmarkStart w:id="278" w:name="_Toc152045609"/>
      <w:bookmarkStart w:id="279" w:name="_Toc144974577"/>
      <w:bookmarkStart w:id="280" w:name="_Toc152042387"/>
      <w:r>
        <w:rPr>
          <w:rFonts w:hint="eastAsia" w:ascii="宋体" w:hAnsi="宋体" w:eastAsia="宋体" w:cs="宋体"/>
          <w:color w:val="000000"/>
          <w:sz w:val="24"/>
          <w:highlight w:val="none"/>
        </w:rPr>
        <w:t>使用《建设工程施工合同示范文本》（GF—201</w:t>
      </w: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—0201）</w:t>
      </w:r>
    </w:p>
    <w:p w14:paraId="14EBD0EB">
      <w:pPr>
        <w:autoSpaceDE w:val="0"/>
        <w:autoSpaceDN w:val="0"/>
        <w:adjustRightInd w:val="0"/>
        <w:spacing w:line="420" w:lineRule="exact"/>
        <w:jc w:val="left"/>
        <w:rPr>
          <w:rFonts w:hint="eastAsia" w:ascii="宋体" w:hAnsi="宋体" w:eastAsia="宋体" w:cs="宋体"/>
          <w:color w:val="000000"/>
          <w:kern w:val="0"/>
          <w:sz w:val="28"/>
          <w:szCs w:val="28"/>
          <w:highlight w:val="none"/>
        </w:rPr>
      </w:pPr>
    </w:p>
    <w:p w14:paraId="099BEB8A">
      <w:pPr>
        <w:autoSpaceDE w:val="0"/>
        <w:autoSpaceDN w:val="0"/>
        <w:adjustRightInd w:val="0"/>
        <w:spacing w:line="420" w:lineRule="exact"/>
        <w:jc w:val="left"/>
        <w:rPr>
          <w:rFonts w:hint="eastAsia" w:ascii="宋体" w:hAnsi="宋体" w:eastAsia="宋体" w:cs="宋体"/>
          <w:color w:val="000000"/>
          <w:kern w:val="0"/>
          <w:sz w:val="28"/>
          <w:szCs w:val="28"/>
          <w:highlight w:val="none"/>
        </w:rPr>
      </w:pPr>
    </w:p>
    <w:p w14:paraId="05D1643F">
      <w:pPr>
        <w:keepNext/>
        <w:keepLines/>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000000"/>
          <w:sz w:val="24"/>
          <w:szCs w:val="24"/>
          <w:highlight w:val="none"/>
        </w:rPr>
      </w:pPr>
      <w:bookmarkStart w:id="281" w:name="_Toc296890982"/>
      <w:bookmarkStart w:id="282" w:name="_Toc390272728"/>
      <w:bookmarkStart w:id="283" w:name="_Toc351203480"/>
      <w:bookmarkStart w:id="284" w:name="_Toc296503025"/>
      <w:r>
        <w:rPr>
          <w:rFonts w:hint="eastAsia" w:ascii="宋体" w:hAnsi="宋体" w:eastAsia="宋体" w:cs="宋体"/>
          <w:b/>
          <w:bCs/>
          <w:color w:val="000000"/>
          <w:sz w:val="24"/>
          <w:szCs w:val="24"/>
          <w:highlight w:val="none"/>
        </w:rPr>
        <w:t>第一部分 合同协议书</w:t>
      </w:r>
      <w:bookmarkEnd w:id="281"/>
      <w:bookmarkEnd w:id="282"/>
      <w:bookmarkEnd w:id="283"/>
      <w:bookmarkEnd w:id="284"/>
    </w:p>
    <w:p w14:paraId="5DAB7E1B">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b/>
          <w:color w:val="000000"/>
          <w:sz w:val="21"/>
          <w:szCs w:val="21"/>
          <w:highlight w:val="none"/>
          <w:u w:val="single"/>
        </w:rPr>
      </w:pPr>
      <w:bookmarkStart w:id="285" w:name="_Toc351203494"/>
      <w:bookmarkStart w:id="286" w:name="_Toc390272729"/>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14:paraId="64B7AACA">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p>
    <w:p w14:paraId="4BCCF55A">
      <w:pPr>
        <w:pageBreakBefore w:val="0"/>
        <w:widowControl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w:t>
      </w:r>
      <w:r>
        <w:rPr>
          <w:rFonts w:hint="eastAsia" w:cs="宋体"/>
          <w:color w:val="000000"/>
          <w:sz w:val="21"/>
          <w:szCs w:val="21"/>
          <w:highlight w:val="none"/>
          <w:lang w:eastAsia="zh-CN"/>
        </w:rPr>
        <w:t>民法典</w:t>
      </w:r>
      <w:r>
        <w:rPr>
          <w:rFonts w:hint="eastAsia" w:ascii="宋体" w:hAnsi="宋体" w:eastAsia="宋体" w:cs="宋体"/>
          <w:color w:val="000000"/>
          <w:sz w:val="21"/>
          <w:szCs w:val="21"/>
          <w:highlight w:val="none"/>
        </w:rPr>
        <w:t>》、《中华人民共和国建筑法》及有关法律规定，遵循平等、自愿、公平和诚实信用的原则，双方就</w:t>
      </w:r>
    </w:p>
    <w:p w14:paraId="47E9AFAA">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工程施工及有关事项协商一致，共同达成如下协议：</w:t>
      </w:r>
    </w:p>
    <w:p w14:paraId="0A0946B9">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bookmarkStart w:id="287" w:name="_Toc351203481"/>
      <w:r>
        <w:rPr>
          <w:rFonts w:hint="eastAsia" w:ascii="宋体" w:hAnsi="宋体" w:eastAsia="宋体" w:cs="宋体"/>
          <w:b/>
          <w:bCs/>
          <w:color w:val="000000"/>
          <w:sz w:val="21"/>
          <w:szCs w:val="21"/>
          <w:highlight w:val="none"/>
        </w:rPr>
        <w:t>一、工程概况</w:t>
      </w:r>
      <w:bookmarkEnd w:id="287"/>
    </w:p>
    <w:p w14:paraId="7C84C0B4">
      <w:pPr>
        <w:pageBreakBefore w:val="0"/>
        <w:widowControl w:val="0"/>
        <w:kinsoku/>
        <w:wordWrap/>
        <w:overflowPunct/>
        <w:topLinePunct w:val="0"/>
        <w:bidi w:val="0"/>
        <w:snapToGrid/>
        <w:spacing w:line="440" w:lineRule="exact"/>
        <w:ind w:left="0" w:leftChars="0" w:right="0" w:rightChars="0" w:firstLine="411" w:firstLineChars="196"/>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B4015D6">
      <w:pPr>
        <w:pageBreakBefore w:val="0"/>
        <w:widowControl w:val="0"/>
        <w:kinsoku/>
        <w:wordWrap/>
        <w:overflowPunct/>
        <w:topLinePunct w:val="0"/>
        <w:bidi w:val="0"/>
        <w:snapToGrid/>
        <w:spacing w:line="440" w:lineRule="exact"/>
        <w:ind w:left="0" w:leftChars="0" w:right="0" w:rightChars="0" w:firstLine="411" w:firstLineChars="196"/>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0630D02">
      <w:pPr>
        <w:pageBreakBefore w:val="0"/>
        <w:widowControl w:val="0"/>
        <w:kinsoku/>
        <w:wordWrap/>
        <w:overflowPunct/>
        <w:topLinePunct w:val="0"/>
        <w:bidi w:val="0"/>
        <w:snapToGrid/>
        <w:spacing w:line="440" w:lineRule="exact"/>
        <w:ind w:left="0" w:leftChars="0" w:right="0" w:rightChars="0" w:firstLine="411" w:firstLineChars="196"/>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3.工程立项批准文号：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bCs/>
          <w:color w:val="000000"/>
          <w:sz w:val="21"/>
          <w:szCs w:val="21"/>
          <w:highlight w:val="none"/>
        </w:rPr>
        <w:t>。</w:t>
      </w:r>
    </w:p>
    <w:p w14:paraId="3AC55D5F">
      <w:pPr>
        <w:pageBreakBefore w:val="0"/>
        <w:widowControl w:val="0"/>
        <w:kinsoku/>
        <w:wordWrap/>
        <w:overflowPunct/>
        <w:topLinePunct w:val="0"/>
        <w:bidi w:val="0"/>
        <w:snapToGrid/>
        <w:spacing w:line="440" w:lineRule="exact"/>
        <w:ind w:left="0" w:leftChars="0" w:right="0" w:rightChars="0" w:firstLine="411" w:firstLineChars="196"/>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4.资金来源：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bCs/>
          <w:color w:val="000000"/>
          <w:sz w:val="21"/>
          <w:szCs w:val="21"/>
          <w:highlight w:val="none"/>
        </w:rPr>
        <w:t>。</w:t>
      </w:r>
    </w:p>
    <w:p w14:paraId="1DF03976">
      <w:pPr>
        <w:pageBreakBefore w:val="0"/>
        <w:widowControl w:val="0"/>
        <w:kinsoku/>
        <w:wordWrap/>
        <w:overflowPunct/>
        <w:topLinePunct w:val="0"/>
        <w:bidi w:val="0"/>
        <w:snapToGrid/>
        <w:spacing w:line="440" w:lineRule="exact"/>
        <w:ind w:left="0" w:leftChars="0" w:right="0" w:rightChars="0" w:firstLine="411" w:firstLineChars="196"/>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5.工程内容：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bCs/>
          <w:color w:val="000000"/>
          <w:sz w:val="21"/>
          <w:szCs w:val="21"/>
          <w:highlight w:val="none"/>
        </w:rPr>
        <w:t>。</w:t>
      </w:r>
    </w:p>
    <w:p w14:paraId="4E08CE42">
      <w:pPr>
        <w:pageBreakBefore w:val="0"/>
        <w:widowControl w:val="0"/>
        <w:kinsoku/>
        <w:wordWrap/>
        <w:overflowPunct/>
        <w:topLinePunct w:val="0"/>
        <w:bidi w:val="0"/>
        <w:snapToGrid/>
        <w:spacing w:line="440" w:lineRule="exact"/>
        <w:ind w:left="0" w:leftChars="0" w:right="0" w:rightChars="0" w:firstLine="411" w:firstLineChars="196"/>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群体工程应附《承包人承揽工程项目一览表》（附件1）。</w:t>
      </w:r>
    </w:p>
    <w:p w14:paraId="085A6872">
      <w:pPr>
        <w:pageBreakBefore w:val="0"/>
        <w:widowControl w:val="0"/>
        <w:kinsoku/>
        <w:wordWrap/>
        <w:overflowPunct/>
        <w:topLinePunct w:val="0"/>
        <w:bidi w:val="0"/>
        <w:snapToGrid/>
        <w:spacing w:line="440" w:lineRule="exact"/>
        <w:ind w:left="0" w:leftChars="0" w:right="0" w:rightChars="0" w:firstLine="411" w:firstLineChars="196"/>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6.工程承包范围：</w:t>
      </w:r>
    </w:p>
    <w:p w14:paraId="2E5AA5AE">
      <w:pPr>
        <w:pageBreakBefore w:val="0"/>
        <w:widowControl w:val="0"/>
        <w:kinsoku/>
        <w:wordWrap/>
        <w:overflowPunct/>
        <w:topLinePunct w:val="0"/>
        <w:bidi w:val="0"/>
        <w:snapToGrid/>
        <w:spacing w:line="440" w:lineRule="exact"/>
        <w:ind w:left="0" w:leftChars="0" w:right="0" w:rightChars="0" w:firstLine="405" w:firstLineChars="193"/>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p>
    <w:p w14:paraId="59B4C819">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77353581">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bookmarkStart w:id="288" w:name="_Toc351203482"/>
      <w:r>
        <w:rPr>
          <w:rFonts w:hint="eastAsia" w:ascii="宋体" w:hAnsi="宋体" w:eastAsia="宋体" w:cs="宋体"/>
          <w:b/>
          <w:bCs/>
          <w:color w:val="000000"/>
          <w:sz w:val="21"/>
          <w:szCs w:val="21"/>
          <w:highlight w:val="none"/>
        </w:rPr>
        <w:t>二、合同工期</w:t>
      </w:r>
      <w:bookmarkEnd w:id="288"/>
    </w:p>
    <w:p w14:paraId="15DBAF7A">
      <w:pPr>
        <w:pageBreakBefore w:val="0"/>
        <w:widowControl w:val="0"/>
        <w:kinsoku/>
        <w:wordWrap/>
        <w:overflowPunct/>
        <w:topLinePunct w:val="0"/>
        <w:bidi w:val="0"/>
        <w:snapToGrid/>
        <w:spacing w:line="440" w:lineRule="exact"/>
        <w:ind w:left="0" w:leftChars="0" w:right="0" w:rightChars="0" w:firstLine="459"/>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058775B2">
      <w:pPr>
        <w:pageBreakBefore w:val="0"/>
        <w:widowControl w:val="0"/>
        <w:kinsoku/>
        <w:wordWrap/>
        <w:overflowPunct/>
        <w:topLinePunct w:val="0"/>
        <w:bidi w:val="0"/>
        <w:snapToGrid/>
        <w:spacing w:line="440" w:lineRule="exact"/>
        <w:ind w:left="0" w:leftChars="0" w:right="0" w:rightChars="0" w:firstLine="459"/>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1E6307BF">
      <w:pPr>
        <w:pageBreakBefore w:val="0"/>
        <w:widowControl w:val="0"/>
        <w:kinsoku/>
        <w:wordWrap/>
        <w:overflowPunct/>
        <w:topLinePunct w:val="0"/>
        <w:bidi w:val="0"/>
        <w:snapToGrid/>
        <w:spacing w:line="440" w:lineRule="exact"/>
        <w:ind w:left="0" w:leftChars="0" w:right="0" w:rightChars="0" w:firstLine="459"/>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天。工期总日历天数与根据前述计划开竣工日期计算的工期天数不一致的，以工期总日历天数为准。</w:t>
      </w:r>
    </w:p>
    <w:p w14:paraId="0C97DFF2">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bCs/>
          <w:color w:val="000000"/>
          <w:sz w:val="21"/>
          <w:szCs w:val="21"/>
          <w:highlight w:val="none"/>
        </w:rPr>
        <w:t xml:space="preserve">  </w:t>
      </w:r>
      <w:bookmarkStart w:id="289" w:name="_Toc351203483"/>
      <w:r>
        <w:rPr>
          <w:rFonts w:hint="eastAsia" w:ascii="宋体" w:hAnsi="宋体" w:eastAsia="宋体" w:cs="宋体"/>
          <w:b/>
          <w:bCs/>
          <w:color w:val="000000"/>
          <w:sz w:val="21"/>
          <w:szCs w:val="21"/>
          <w:highlight w:val="none"/>
        </w:rPr>
        <w:t>三、质量标准</w:t>
      </w:r>
      <w:bookmarkEnd w:id="289"/>
    </w:p>
    <w:p w14:paraId="65B0DB48">
      <w:pPr>
        <w:pageBreakBefore w:val="0"/>
        <w:widowControl w:val="0"/>
        <w:kinsoku/>
        <w:wordWrap/>
        <w:overflowPunct/>
        <w:topLinePunct w:val="0"/>
        <w:bidi w:val="0"/>
        <w:snapToGrid/>
        <w:spacing w:line="440" w:lineRule="exact"/>
        <w:ind w:left="0" w:leftChars="0" w:right="0" w:rightChars="0" w:firstLine="459"/>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标准。</w:t>
      </w:r>
    </w:p>
    <w:p w14:paraId="77E9E044">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bCs/>
          <w:color w:val="000000"/>
          <w:sz w:val="21"/>
          <w:szCs w:val="21"/>
          <w:highlight w:val="none"/>
        </w:rPr>
        <w:t xml:space="preserve"> </w:t>
      </w:r>
      <w:bookmarkStart w:id="290" w:name="_Toc351203484"/>
      <w:r>
        <w:rPr>
          <w:rFonts w:hint="eastAsia" w:ascii="宋体" w:hAnsi="宋体" w:eastAsia="宋体" w:cs="宋体"/>
          <w:b/>
          <w:bCs/>
          <w:color w:val="000000"/>
          <w:sz w:val="21"/>
          <w:szCs w:val="21"/>
          <w:highlight w:val="none"/>
        </w:rPr>
        <w:t>四、签约合同价与合同价格形式</w:t>
      </w:r>
      <w:bookmarkEnd w:id="290"/>
      <w:r>
        <w:rPr>
          <w:rFonts w:hint="eastAsia" w:ascii="宋体" w:hAnsi="宋体" w:eastAsia="宋体" w:cs="宋体"/>
          <w:b/>
          <w:bCs/>
          <w:color w:val="000000"/>
          <w:sz w:val="21"/>
          <w:szCs w:val="21"/>
          <w:highlight w:val="none"/>
        </w:rPr>
        <w:tab/>
      </w:r>
    </w:p>
    <w:p w14:paraId="6AFA4373">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1.签约合同价为：</w:t>
      </w:r>
    </w:p>
    <w:p w14:paraId="169B413A">
      <w:pPr>
        <w:pageBreakBefore w:val="0"/>
        <w:widowControl w:val="0"/>
        <w:kinsoku/>
        <w:wordWrap/>
        <w:overflowPunct/>
        <w:topLinePunct w:val="0"/>
        <w:bidi w:val="0"/>
        <w:snapToGrid/>
        <w:spacing w:line="440" w:lineRule="exact"/>
        <w:ind w:left="0" w:leftChars="0" w:right="0" w:rightChars="0" w:firstLine="525" w:firstLineChars="2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38DA2E9E">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14:paraId="0B944527">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（1）安全文明施工费：</w:t>
      </w:r>
    </w:p>
    <w:p w14:paraId="71C53102">
      <w:pPr>
        <w:pageBreakBefore w:val="0"/>
        <w:widowControl w:val="0"/>
        <w:kinsoku/>
        <w:wordWrap/>
        <w:overflowPunct/>
        <w:topLinePunct w:val="0"/>
        <w:bidi w:val="0"/>
        <w:snapToGrid/>
        <w:spacing w:line="440" w:lineRule="exact"/>
        <w:ind w:left="0" w:leftChars="0" w:right="0" w:rightChars="0" w:firstLine="945" w:firstLineChars="4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2A8AA323">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（2）材料和工程设备暂估价金额：</w:t>
      </w:r>
    </w:p>
    <w:p w14:paraId="3E0517CD">
      <w:pPr>
        <w:pageBreakBefore w:val="0"/>
        <w:widowControl w:val="0"/>
        <w:kinsoku/>
        <w:wordWrap/>
        <w:overflowPunct/>
        <w:topLinePunct w:val="0"/>
        <w:bidi w:val="0"/>
        <w:snapToGrid/>
        <w:spacing w:line="440" w:lineRule="exact"/>
        <w:ind w:left="0" w:leftChars="0" w:right="0" w:rightChars="0" w:firstLine="945" w:firstLineChars="4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20ED81AD">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（3）专业工程暂估价金额：</w:t>
      </w:r>
    </w:p>
    <w:p w14:paraId="471C48CF">
      <w:pPr>
        <w:pageBreakBefore w:val="0"/>
        <w:widowControl w:val="0"/>
        <w:kinsoku/>
        <w:wordWrap/>
        <w:overflowPunct/>
        <w:topLinePunct w:val="0"/>
        <w:bidi w:val="0"/>
        <w:snapToGrid/>
        <w:spacing w:line="440" w:lineRule="exact"/>
        <w:ind w:left="0" w:leftChars="0" w:right="0" w:rightChars="0" w:firstLine="945" w:firstLineChars="4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5360745">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（4）暂列金额：</w:t>
      </w:r>
    </w:p>
    <w:p w14:paraId="234C00AD">
      <w:pPr>
        <w:pageBreakBefore w:val="0"/>
        <w:widowControl w:val="0"/>
        <w:kinsoku/>
        <w:wordWrap/>
        <w:overflowPunct/>
        <w:topLinePunct w:val="0"/>
        <w:bidi w:val="0"/>
        <w:snapToGrid/>
        <w:spacing w:line="440" w:lineRule="exact"/>
        <w:ind w:left="0" w:leftChars="0" w:right="0" w:rightChars="0" w:firstLine="945" w:firstLineChars="4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B39B530">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2.合同价格形式：</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3AAF7A54">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bCs/>
          <w:color w:val="000000"/>
          <w:sz w:val="21"/>
          <w:szCs w:val="21"/>
          <w:highlight w:val="none"/>
        </w:rPr>
        <w:t xml:space="preserve"> </w:t>
      </w:r>
      <w:bookmarkStart w:id="291" w:name="_Toc351203485"/>
      <w:r>
        <w:rPr>
          <w:rFonts w:hint="eastAsia" w:ascii="宋体" w:hAnsi="宋体" w:eastAsia="宋体" w:cs="宋体"/>
          <w:b/>
          <w:bCs/>
          <w:color w:val="000000"/>
          <w:sz w:val="21"/>
          <w:szCs w:val="21"/>
          <w:highlight w:val="none"/>
        </w:rPr>
        <w:t>五、</w:t>
      </w:r>
      <w:bookmarkEnd w:id="291"/>
      <w:r>
        <w:rPr>
          <w:rFonts w:hint="eastAsia" w:ascii="宋体" w:hAnsi="宋体" w:eastAsia="宋体" w:cs="宋体"/>
          <w:b/>
          <w:bCs/>
          <w:color w:val="000000"/>
          <w:sz w:val="21"/>
          <w:szCs w:val="21"/>
          <w:highlight w:val="none"/>
        </w:rPr>
        <w:t>项目经理</w:t>
      </w:r>
    </w:p>
    <w:p w14:paraId="621617B4">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57FD52DC">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bookmarkStart w:id="292" w:name="_Toc351203486"/>
      <w:r>
        <w:rPr>
          <w:rFonts w:hint="eastAsia" w:ascii="宋体" w:hAnsi="宋体" w:eastAsia="宋体" w:cs="宋体"/>
          <w:b/>
          <w:bCs/>
          <w:color w:val="000000"/>
          <w:sz w:val="21"/>
          <w:szCs w:val="21"/>
          <w:highlight w:val="none"/>
        </w:rPr>
        <w:t>六、合同文件构成</w:t>
      </w:r>
      <w:bookmarkEnd w:id="292"/>
    </w:p>
    <w:p w14:paraId="15A6240E">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61584E07">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14:paraId="34CF7ACD">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14:paraId="3B7DC429">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14:paraId="67F44508">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14:paraId="60BCE0E4">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14:paraId="24D06781">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（6）图纸；</w:t>
      </w:r>
    </w:p>
    <w:p w14:paraId="4B9431C4">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（7）已标价工程量清单或预算书；</w:t>
      </w:r>
    </w:p>
    <w:p w14:paraId="7241EEFC">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14:paraId="3BA7C297">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14:paraId="095BE25B">
      <w:pPr>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45862D4">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bCs/>
          <w:color w:val="000000"/>
          <w:sz w:val="21"/>
          <w:szCs w:val="21"/>
          <w:highlight w:val="none"/>
        </w:rPr>
        <w:t xml:space="preserve">   </w:t>
      </w:r>
      <w:bookmarkStart w:id="293" w:name="_Toc351203487"/>
      <w:r>
        <w:rPr>
          <w:rFonts w:hint="eastAsia" w:ascii="宋体" w:hAnsi="宋体" w:eastAsia="宋体" w:cs="宋体"/>
          <w:b/>
          <w:bCs/>
          <w:color w:val="000000"/>
          <w:sz w:val="21"/>
          <w:szCs w:val="21"/>
          <w:highlight w:val="none"/>
        </w:rPr>
        <w:t>七、承诺</w:t>
      </w:r>
      <w:bookmarkEnd w:id="293"/>
    </w:p>
    <w:p w14:paraId="5A1CC424">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1.发包人承诺按照法律规定履行项目审批手续、筹集工程建设资金并按照合同约定的期限和方式支付合同价款。</w:t>
      </w:r>
    </w:p>
    <w:p w14:paraId="63F6B597">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39DBAA30">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14:paraId="2A58527B">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294" w:name="_Toc351203488"/>
      <w:r>
        <w:rPr>
          <w:rFonts w:hint="eastAsia" w:ascii="宋体" w:hAnsi="宋体" w:eastAsia="宋体" w:cs="宋体"/>
          <w:b/>
          <w:bCs/>
          <w:color w:val="000000"/>
          <w:sz w:val="21"/>
          <w:szCs w:val="21"/>
          <w:highlight w:val="none"/>
        </w:rPr>
        <w:t xml:space="preserve">    八、词语含义</w:t>
      </w:r>
      <w:bookmarkEnd w:id="294"/>
    </w:p>
    <w:p w14:paraId="6DEA4881">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36BBE09D">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bCs/>
          <w:color w:val="000000"/>
          <w:sz w:val="21"/>
          <w:szCs w:val="21"/>
          <w:highlight w:val="none"/>
        </w:rPr>
        <w:t xml:space="preserve">   </w:t>
      </w:r>
      <w:bookmarkStart w:id="295" w:name="_Toc351203489"/>
      <w:r>
        <w:rPr>
          <w:rFonts w:hint="eastAsia" w:ascii="宋体" w:hAnsi="宋体" w:eastAsia="宋体" w:cs="宋体"/>
          <w:b/>
          <w:bCs/>
          <w:color w:val="000000"/>
          <w:sz w:val="21"/>
          <w:szCs w:val="21"/>
          <w:highlight w:val="none"/>
        </w:rPr>
        <w:t>九、签订时间</w:t>
      </w:r>
      <w:bookmarkEnd w:id="295"/>
    </w:p>
    <w:p w14:paraId="2DF2FB62">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6E77C82A">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bookmarkStart w:id="296" w:name="_Toc351203490"/>
      <w:r>
        <w:rPr>
          <w:rFonts w:hint="eastAsia" w:ascii="宋体" w:hAnsi="宋体" w:eastAsia="宋体" w:cs="宋体"/>
          <w:b/>
          <w:bCs/>
          <w:color w:val="000000"/>
          <w:sz w:val="21"/>
          <w:szCs w:val="21"/>
          <w:highlight w:val="none"/>
        </w:rPr>
        <w:t>十、签订地点</w:t>
      </w:r>
      <w:bookmarkEnd w:id="296"/>
    </w:p>
    <w:p w14:paraId="69549593">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48DE010A">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97" w:name="_Toc351203491"/>
      <w:r>
        <w:rPr>
          <w:rFonts w:hint="eastAsia" w:ascii="宋体" w:hAnsi="宋体" w:eastAsia="宋体" w:cs="宋体"/>
          <w:b/>
          <w:bCs/>
          <w:color w:val="000000"/>
          <w:sz w:val="21"/>
          <w:szCs w:val="21"/>
          <w:highlight w:val="none"/>
        </w:rPr>
        <w:t>十一、补充协议</w:t>
      </w:r>
      <w:bookmarkEnd w:id="297"/>
    </w:p>
    <w:p w14:paraId="72A1F4E4">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1473F0EC">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bCs/>
          <w:color w:val="000000"/>
          <w:sz w:val="21"/>
          <w:szCs w:val="21"/>
          <w:highlight w:val="none"/>
        </w:rPr>
        <w:t xml:space="preserve">  </w:t>
      </w:r>
      <w:bookmarkStart w:id="298" w:name="_Toc351203492"/>
      <w:r>
        <w:rPr>
          <w:rFonts w:hint="eastAsia" w:ascii="宋体" w:hAnsi="宋体" w:eastAsia="宋体" w:cs="宋体"/>
          <w:b/>
          <w:bCs/>
          <w:color w:val="000000"/>
          <w:sz w:val="21"/>
          <w:szCs w:val="21"/>
          <w:highlight w:val="none"/>
        </w:rPr>
        <w:t>十二、合同生效</w:t>
      </w:r>
      <w:bookmarkEnd w:id="298"/>
    </w:p>
    <w:p w14:paraId="11894F79">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36D1F231">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bookmarkStart w:id="299" w:name="_Toc351203493"/>
      <w:r>
        <w:rPr>
          <w:rFonts w:hint="eastAsia" w:ascii="宋体" w:hAnsi="宋体" w:eastAsia="宋体" w:cs="宋体"/>
          <w:b/>
          <w:bCs/>
          <w:color w:val="000000"/>
          <w:sz w:val="21"/>
          <w:szCs w:val="21"/>
          <w:highlight w:val="none"/>
        </w:rPr>
        <w:t>十三、合同份数</w:t>
      </w:r>
      <w:bookmarkEnd w:id="299"/>
    </w:p>
    <w:p w14:paraId="67E01696">
      <w:pPr>
        <w:pageBreakBefore w:val="0"/>
        <w:widowControl w:val="0"/>
        <w:kinsoku/>
        <w:wordWrap/>
        <w:overflowPunct/>
        <w:topLinePunct w:val="0"/>
        <w:bidi w:val="0"/>
        <w:snapToGrid/>
        <w:spacing w:line="440" w:lineRule="exact"/>
        <w:ind w:left="0" w:leftChars="0" w:right="0" w:rightChars="0"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份，承包人执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678CCA12">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Cs/>
          <w:color w:val="000000"/>
          <w:sz w:val="21"/>
          <w:szCs w:val="21"/>
          <w:highlight w:val="none"/>
        </w:rPr>
      </w:pPr>
    </w:p>
    <w:p w14:paraId="1B701A50">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  (公章)             承包人：  (公章)</w:t>
      </w:r>
    </w:p>
    <w:p w14:paraId="158E4F74">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w:t>
      </w:r>
    </w:p>
    <w:p w14:paraId="4B92A715">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法定代表人或其委托代理人：  法定代表人或其委托代理人：</w:t>
      </w:r>
    </w:p>
    <w:p w14:paraId="790DFF11">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                    （签字）</w:t>
      </w:r>
    </w:p>
    <w:p w14:paraId="69FFEBD3">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u w:val="single"/>
        </w:rPr>
      </w:pPr>
    </w:p>
    <w:p w14:paraId="27ABE5C2">
      <w:pPr>
        <w:pageBreakBefore w:val="0"/>
        <w:widowControl w:val="0"/>
        <w:tabs>
          <w:tab w:val="left" w:pos="4410"/>
        </w:tabs>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6F52EE06">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地  址：</w:t>
      </w:r>
      <w:r>
        <w:rPr>
          <w:rFonts w:hint="eastAsia" w:ascii="宋体" w:hAnsi="宋体" w:eastAsia="宋体" w:cs="宋体"/>
          <w:color w:val="000000"/>
          <w:sz w:val="21"/>
          <w:szCs w:val="21"/>
          <w:highlight w:val="none"/>
          <w:u w:val="single"/>
        </w:rPr>
        <w:t xml:space="preserve">        </w:t>
      </w:r>
    </w:p>
    <w:p w14:paraId="3C8EECC7">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 xml:space="preserve">  邮政编码：</w:t>
      </w:r>
      <w:r>
        <w:rPr>
          <w:rFonts w:hint="eastAsia" w:ascii="宋体" w:hAnsi="宋体" w:eastAsia="宋体" w:cs="宋体"/>
          <w:color w:val="000000"/>
          <w:sz w:val="21"/>
          <w:szCs w:val="21"/>
          <w:highlight w:val="none"/>
          <w:u w:val="single"/>
        </w:rPr>
        <w:t xml:space="preserve">   </w:t>
      </w:r>
    </w:p>
    <w:p w14:paraId="04657ADC">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法定代表人：</w:t>
      </w:r>
      <w:r>
        <w:rPr>
          <w:rFonts w:hint="eastAsia" w:ascii="宋体" w:hAnsi="宋体" w:eastAsia="宋体" w:cs="宋体"/>
          <w:color w:val="000000"/>
          <w:sz w:val="21"/>
          <w:szCs w:val="21"/>
          <w:highlight w:val="none"/>
          <w:u w:val="single"/>
        </w:rPr>
        <w:t xml:space="preserve">             </w:t>
      </w:r>
    </w:p>
    <w:p w14:paraId="771164E7">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委托代理人：</w:t>
      </w:r>
      <w:r>
        <w:rPr>
          <w:rFonts w:hint="eastAsia" w:ascii="宋体" w:hAnsi="宋体" w:eastAsia="宋体" w:cs="宋体"/>
          <w:color w:val="000000"/>
          <w:sz w:val="21"/>
          <w:szCs w:val="21"/>
          <w:highlight w:val="none"/>
          <w:u w:val="single"/>
        </w:rPr>
        <w:t xml:space="preserve">             </w:t>
      </w:r>
    </w:p>
    <w:p w14:paraId="1E446F94">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  话：</w:t>
      </w:r>
      <w:r>
        <w:rPr>
          <w:rFonts w:hint="eastAsia" w:ascii="宋体" w:hAnsi="宋体" w:eastAsia="宋体" w:cs="宋体"/>
          <w:color w:val="000000"/>
          <w:sz w:val="21"/>
          <w:szCs w:val="21"/>
          <w:highlight w:val="none"/>
          <w:u w:val="single"/>
        </w:rPr>
        <w:t xml:space="preserve">     </w:t>
      </w:r>
    </w:p>
    <w:p w14:paraId="7B5846E8">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传  真：</w:t>
      </w:r>
      <w:r>
        <w:rPr>
          <w:rFonts w:hint="eastAsia" w:ascii="宋体" w:hAnsi="宋体" w:eastAsia="宋体" w:cs="宋体"/>
          <w:color w:val="000000"/>
          <w:sz w:val="21"/>
          <w:szCs w:val="21"/>
          <w:highlight w:val="none"/>
          <w:u w:val="single"/>
        </w:rPr>
        <w:t xml:space="preserve">     </w:t>
      </w:r>
    </w:p>
    <w:p w14:paraId="4C30CDFF">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电子信箱：</w:t>
      </w:r>
      <w:r>
        <w:rPr>
          <w:rFonts w:hint="eastAsia" w:ascii="宋体" w:hAnsi="宋体" w:eastAsia="宋体" w:cs="宋体"/>
          <w:color w:val="000000"/>
          <w:sz w:val="21"/>
          <w:szCs w:val="21"/>
          <w:highlight w:val="none"/>
          <w:u w:val="single"/>
        </w:rPr>
        <w:t xml:space="preserve">   </w:t>
      </w:r>
    </w:p>
    <w:p w14:paraId="5768C209">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开户银行：</w:t>
      </w:r>
      <w:r>
        <w:rPr>
          <w:rFonts w:hint="eastAsia" w:ascii="宋体" w:hAnsi="宋体" w:eastAsia="宋体" w:cs="宋体"/>
          <w:color w:val="000000"/>
          <w:sz w:val="21"/>
          <w:szCs w:val="21"/>
          <w:highlight w:val="none"/>
          <w:u w:val="single"/>
        </w:rPr>
        <w:t xml:space="preserve">   </w:t>
      </w:r>
    </w:p>
    <w:p w14:paraId="5C2C1FC5">
      <w:pPr>
        <w:pageBreakBefore w:val="0"/>
        <w:widowControl w:val="0"/>
        <w:kinsoku/>
        <w:wordWrap/>
        <w:overflowPunct/>
        <w:topLinePunct w:val="0"/>
        <w:bidi w:val="0"/>
        <w:snapToGrid/>
        <w:spacing w:line="440" w:lineRule="exact"/>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账  号：</w:t>
      </w:r>
      <w:r>
        <w:rPr>
          <w:rFonts w:hint="eastAsia" w:ascii="宋体" w:hAnsi="宋体" w:eastAsia="宋体" w:cs="宋体"/>
          <w:color w:val="000000"/>
          <w:sz w:val="21"/>
          <w:szCs w:val="21"/>
          <w:highlight w:val="none"/>
          <w:u w:val="single"/>
        </w:rPr>
        <w:t xml:space="preserve">     </w:t>
      </w:r>
    </w:p>
    <w:p w14:paraId="569F4124">
      <w:pPr>
        <w:keepNext/>
        <w:keepLines/>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b/>
          <w:bCs/>
          <w:color w:val="000000"/>
          <w:sz w:val="24"/>
          <w:szCs w:val="24"/>
          <w:highlight w:val="none"/>
        </w:rPr>
        <w:t>第二部分 通用合同条款</w:t>
      </w:r>
      <w:bookmarkEnd w:id="285"/>
      <w:bookmarkEnd w:id="286"/>
      <w:bookmarkStart w:id="300" w:name="_Toc337558727"/>
    </w:p>
    <w:bookmarkEnd w:id="300"/>
    <w:p w14:paraId="44E0D579">
      <w:pPr>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color w:val="000000"/>
          <w:sz w:val="28"/>
          <w:szCs w:val="28"/>
          <w:highlight w:val="none"/>
        </w:rPr>
      </w:pPr>
      <w:bookmarkStart w:id="301" w:name="_Toc464031365"/>
      <w:bookmarkStart w:id="302" w:name="_Toc390272730"/>
      <w:bookmarkStart w:id="303" w:name="_Toc351203632"/>
      <w:bookmarkStart w:id="304" w:name="_Toc379995333"/>
      <w:bookmarkStart w:id="305" w:name="_Toc428370623"/>
      <w:r>
        <w:rPr>
          <w:rFonts w:hint="eastAsia" w:ascii="宋体" w:hAnsi="宋体" w:eastAsia="宋体" w:cs="宋体"/>
          <w:color w:val="000000"/>
          <w:sz w:val="21"/>
          <w:szCs w:val="21"/>
          <w:highlight w:val="none"/>
        </w:rPr>
        <w:t>详见“建设工程施工合同（示范文本）（GF—201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—0201）”通用合同条款</w:t>
      </w:r>
      <w:r>
        <w:rPr>
          <w:rFonts w:hint="eastAsia" w:ascii="宋体" w:hAnsi="宋体" w:eastAsia="宋体" w:cs="宋体"/>
          <w:color w:val="000000"/>
          <w:sz w:val="44"/>
          <w:szCs w:val="44"/>
          <w:highlight w:val="none"/>
        </w:rPr>
        <w:br w:type="page"/>
      </w:r>
      <w:bookmarkStart w:id="306" w:name="_Toc390272731"/>
      <w:r>
        <w:rPr>
          <w:rFonts w:hint="eastAsia" w:ascii="宋体" w:hAnsi="宋体" w:eastAsia="宋体" w:cs="宋体"/>
          <w:b/>
          <w:bCs/>
          <w:color w:val="000000"/>
          <w:sz w:val="24"/>
          <w:szCs w:val="24"/>
          <w:highlight w:val="none"/>
        </w:rPr>
        <w:t>第三部分 专用合同条款</w:t>
      </w:r>
      <w:bookmarkEnd w:id="301"/>
      <w:bookmarkEnd w:id="302"/>
      <w:bookmarkEnd w:id="303"/>
      <w:bookmarkEnd w:id="304"/>
      <w:bookmarkEnd w:id="305"/>
      <w:bookmarkEnd w:id="306"/>
    </w:p>
    <w:p w14:paraId="006FD97F">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307" w:name="_Toc351203633"/>
      <w:r>
        <w:rPr>
          <w:rFonts w:hint="eastAsia" w:ascii="宋体" w:hAnsi="宋体" w:eastAsia="宋体" w:cs="宋体"/>
          <w:b/>
          <w:bCs/>
          <w:color w:val="000000"/>
          <w:sz w:val="21"/>
          <w:szCs w:val="21"/>
          <w:highlight w:val="none"/>
        </w:rPr>
        <w:t>1</w:t>
      </w:r>
      <w:bookmarkStart w:id="308" w:name="_Toc297120456"/>
      <w:bookmarkStart w:id="309" w:name="_Toc296503156"/>
      <w:bookmarkStart w:id="310" w:name="_Toc296891196"/>
      <w:bookmarkStart w:id="311" w:name="_Toc296347155"/>
      <w:bookmarkStart w:id="312" w:name="_Toc296346657"/>
      <w:bookmarkStart w:id="313" w:name="_Toc292559361"/>
      <w:bookmarkStart w:id="314" w:name="_Toc292559866"/>
      <w:bookmarkStart w:id="315" w:name="_Toc297048342"/>
      <w:bookmarkStart w:id="316" w:name="_Toc296944495"/>
      <w:bookmarkStart w:id="317" w:name="_Toc296890984"/>
      <w:r>
        <w:rPr>
          <w:rFonts w:hint="eastAsia" w:ascii="宋体" w:hAnsi="宋体" w:eastAsia="宋体" w:cs="宋体"/>
          <w:b/>
          <w:bCs/>
          <w:color w:val="000000"/>
          <w:sz w:val="21"/>
          <w:szCs w:val="21"/>
          <w:highlight w:val="none"/>
        </w:rPr>
        <w:t>. 一般约定</w:t>
      </w:r>
      <w:bookmarkEnd w:id="307"/>
    </w:p>
    <w:bookmarkEnd w:id="308"/>
    <w:bookmarkEnd w:id="309"/>
    <w:bookmarkEnd w:id="310"/>
    <w:bookmarkEnd w:id="311"/>
    <w:bookmarkEnd w:id="312"/>
    <w:bookmarkEnd w:id="313"/>
    <w:bookmarkEnd w:id="314"/>
    <w:bookmarkEnd w:id="315"/>
    <w:bookmarkEnd w:id="316"/>
    <w:bookmarkEnd w:id="317"/>
    <w:p w14:paraId="3133A55D">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1.1 </w:t>
      </w:r>
      <w:r>
        <w:rPr>
          <w:rFonts w:hint="eastAsia" w:ascii="宋体" w:hAnsi="宋体" w:eastAsia="宋体" w:cs="宋体"/>
          <w:color w:val="000000"/>
          <w:sz w:val="21"/>
          <w:szCs w:val="21"/>
          <w:highlight w:val="none"/>
        </w:rPr>
        <w:t>词语定义</w:t>
      </w:r>
    </w:p>
    <w:p w14:paraId="0C70B6ED">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1.1.1合同</w:t>
      </w:r>
    </w:p>
    <w:p w14:paraId="0B2109DC">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1.1.1.10其他合同文件包括：</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3CBE2E9">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合同当事人及其他相关方</w:t>
      </w:r>
    </w:p>
    <w:p w14:paraId="031C3183">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1.1.2.4监理人：</w:t>
      </w:r>
    </w:p>
    <w:p w14:paraId="67CDC8CB">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20EBE5FC">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6E03A411">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0C5FC473">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2A70735A">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36E8AE69">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1.1.2.5 设计人：</w:t>
      </w:r>
    </w:p>
    <w:p w14:paraId="6EE17ABB">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011C5163">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1B6FAA66">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0AFED2E8">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25B821E2">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5CC65E83">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 工程和设备</w:t>
      </w:r>
    </w:p>
    <w:p w14:paraId="048F0C12">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1.1.3.7 作为施工现场组成部分的其他场所包括：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11E6BDD">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1.1.3.9 永久占地包括：</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kern w:val="0"/>
          <w:sz w:val="21"/>
          <w:szCs w:val="21"/>
          <w:highlight w:val="none"/>
        </w:rPr>
        <w:t>。</w:t>
      </w:r>
    </w:p>
    <w:p w14:paraId="480C0455">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1.1.3.10 临时占地包括：</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kern w:val="0"/>
          <w:sz w:val="21"/>
          <w:szCs w:val="21"/>
          <w:highlight w:val="none"/>
        </w:rPr>
        <w:t>。</w:t>
      </w:r>
    </w:p>
    <w:p w14:paraId="7D5ECBF4">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1.3</w:t>
      </w:r>
      <w:r>
        <w:rPr>
          <w:rFonts w:hint="eastAsia" w:ascii="宋体" w:hAnsi="宋体" w:eastAsia="宋体" w:cs="宋体"/>
          <w:color w:val="000000"/>
          <w:sz w:val="21"/>
          <w:szCs w:val="21"/>
          <w:highlight w:val="none"/>
        </w:rPr>
        <w:t xml:space="preserve">法律 </w:t>
      </w:r>
    </w:p>
    <w:p w14:paraId="4739062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7ED6394">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1.4 </w:t>
      </w:r>
      <w:r>
        <w:rPr>
          <w:rFonts w:hint="eastAsia" w:ascii="宋体" w:hAnsi="宋体" w:eastAsia="宋体" w:cs="宋体"/>
          <w:color w:val="000000"/>
          <w:sz w:val="21"/>
          <w:szCs w:val="21"/>
          <w:highlight w:val="none"/>
        </w:rPr>
        <w:t>标准和规范</w:t>
      </w:r>
    </w:p>
    <w:p w14:paraId="72107734">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1.4.1适用于工程的标准规范包括：</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1869504E">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1.4.2 发包人提供国外标准、规范的名称：</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D9E9933">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发包人提供国外标准、规范的份数：</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081C459C">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发包人提供国外标准、规范的名称：</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4FB2283E">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1.4.3发包人对工程的技术标准和功能要求的特殊要求：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5724E46">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1.5 </w:t>
      </w:r>
      <w:r>
        <w:rPr>
          <w:rFonts w:hint="eastAsia" w:ascii="宋体" w:hAnsi="宋体" w:eastAsia="宋体" w:cs="宋体"/>
          <w:color w:val="000000"/>
          <w:sz w:val="21"/>
          <w:szCs w:val="21"/>
          <w:highlight w:val="none"/>
        </w:rPr>
        <w:t>合同文件的优先顺序</w:t>
      </w:r>
    </w:p>
    <w:p w14:paraId="6E3F8767">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7D916504">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1.6 </w:t>
      </w:r>
      <w:r>
        <w:rPr>
          <w:rFonts w:hint="eastAsia" w:ascii="宋体" w:hAnsi="宋体" w:eastAsia="宋体" w:cs="宋体"/>
          <w:color w:val="000000"/>
          <w:sz w:val="21"/>
          <w:szCs w:val="21"/>
          <w:highlight w:val="none"/>
        </w:rPr>
        <w:t>图纸和承包人文件</w:t>
      </w:r>
      <w:r>
        <w:rPr>
          <w:rFonts w:hint="eastAsia" w:ascii="宋体" w:hAnsi="宋体" w:eastAsia="宋体" w:cs="宋体"/>
          <w:color w:val="000000"/>
          <w:sz w:val="21"/>
          <w:szCs w:val="21"/>
          <w:highlight w:val="none"/>
        </w:rPr>
        <w:tab/>
      </w:r>
    </w:p>
    <w:p w14:paraId="7059A07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图纸的提供</w:t>
      </w:r>
    </w:p>
    <w:p w14:paraId="36DDBF9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发包人向承包人提供图纸的期限：</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0CA48D52">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发包人向承包人提供图纸的数量：</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54E653E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发包人向承包人提供图纸的内容：</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04066F1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承包人文件</w:t>
      </w:r>
    </w:p>
    <w:p w14:paraId="5910455D">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需要由承包人提供的文件，包括：</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2B10B29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承包人提供的文件的期限为：</w:t>
      </w:r>
      <w:r>
        <w:rPr>
          <w:rFonts w:hint="eastAsia" w:ascii="宋体" w:hAnsi="宋体" w:eastAsia="宋体" w:cs="宋体"/>
          <w:color w:val="000000"/>
          <w:sz w:val="21"/>
          <w:szCs w:val="21"/>
          <w:highlight w:val="none"/>
          <w:u w:val="single"/>
        </w:rPr>
        <w:t>       </w:t>
      </w:r>
      <w:r>
        <w:rPr>
          <w:rFonts w:hint="eastAsia" w:ascii="宋体" w:hAnsi="宋体" w:eastAsia="宋体" w:cs="宋体"/>
          <w:color w:val="000000"/>
          <w:sz w:val="21"/>
          <w:szCs w:val="21"/>
          <w:highlight w:val="none"/>
        </w:rPr>
        <w:t>；</w:t>
      </w:r>
    </w:p>
    <w:p w14:paraId="1B437F8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承包人提供的文件的数量为：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8D4923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承包人提供的文件的形式为：</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164D12E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发包人审批承包人文件的期限：</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107630B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1.6.5 现场图纸准备</w:t>
      </w:r>
    </w:p>
    <w:p w14:paraId="670AF29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关于现场图纸准备的约定：</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2B172823">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1.7 </w:t>
      </w:r>
      <w:r>
        <w:rPr>
          <w:rFonts w:hint="eastAsia" w:ascii="宋体" w:hAnsi="宋体" w:eastAsia="宋体" w:cs="宋体"/>
          <w:color w:val="000000"/>
          <w:sz w:val="21"/>
          <w:szCs w:val="21"/>
          <w:highlight w:val="none"/>
        </w:rPr>
        <w:t>联络</w:t>
      </w:r>
    </w:p>
    <w:p w14:paraId="33069E09">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1.7.1发包人和承包人应当在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天内将与合同有关的通知、批准、证明、证书、指示、指令、要求、请求、同意、意见、确定和决定等书面函件送达对方当事人。</w:t>
      </w:r>
    </w:p>
    <w:p w14:paraId="4D82C6F8">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1.7.2 发包人接收文件的地点：</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kern w:val="0"/>
          <w:sz w:val="21"/>
          <w:szCs w:val="21"/>
          <w:highlight w:val="none"/>
        </w:rPr>
        <w:t>；</w:t>
      </w:r>
    </w:p>
    <w:p w14:paraId="19C980EA">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发包人指定的接收人为：</w:t>
      </w:r>
      <w:r>
        <w:rPr>
          <w:rFonts w:hint="eastAsia" w:ascii="宋体" w:hAnsi="宋体" w:eastAsia="宋体" w:cs="宋体"/>
          <w:color w:val="000000"/>
          <w:sz w:val="21"/>
          <w:szCs w:val="21"/>
          <w:highlight w:val="none"/>
          <w:u w:val="single"/>
        </w:rPr>
        <w:t>               </w:t>
      </w:r>
      <w:r>
        <w:rPr>
          <w:rFonts w:hint="eastAsia" w:ascii="宋体" w:hAnsi="宋体" w:eastAsia="宋体" w:cs="宋体"/>
          <w:color w:val="000000"/>
          <w:kern w:val="0"/>
          <w:sz w:val="21"/>
          <w:szCs w:val="21"/>
          <w:highlight w:val="none"/>
        </w:rPr>
        <w:t>。</w:t>
      </w:r>
    </w:p>
    <w:p w14:paraId="1BACB118">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承包人接收文件的地点：</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kern w:val="0"/>
          <w:sz w:val="21"/>
          <w:szCs w:val="21"/>
          <w:highlight w:val="none"/>
        </w:rPr>
        <w:t>；</w:t>
      </w:r>
    </w:p>
    <w:p w14:paraId="47933605">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承包人指定的接收人为：</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kern w:val="0"/>
          <w:sz w:val="21"/>
          <w:szCs w:val="21"/>
          <w:highlight w:val="none"/>
        </w:rPr>
        <w:t>。</w:t>
      </w:r>
    </w:p>
    <w:p w14:paraId="7FFE902C">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监理人接收文件的地点：</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kern w:val="0"/>
          <w:sz w:val="21"/>
          <w:szCs w:val="21"/>
          <w:highlight w:val="none"/>
        </w:rPr>
        <w:t>；</w:t>
      </w:r>
    </w:p>
    <w:p w14:paraId="7A8EBBAD">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监理人指定的接收人为：</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kern w:val="0"/>
          <w:sz w:val="21"/>
          <w:szCs w:val="21"/>
          <w:highlight w:val="none"/>
        </w:rPr>
        <w:t>。</w:t>
      </w:r>
    </w:p>
    <w:p w14:paraId="42C8F718">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1.10 </w:t>
      </w:r>
      <w:r>
        <w:rPr>
          <w:rFonts w:hint="eastAsia" w:ascii="宋体" w:hAnsi="宋体" w:eastAsia="宋体" w:cs="宋体"/>
          <w:color w:val="000000"/>
          <w:sz w:val="21"/>
          <w:szCs w:val="21"/>
          <w:highlight w:val="none"/>
        </w:rPr>
        <w:t>交通运输</w:t>
      </w:r>
    </w:p>
    <w:p w14:paraId="2BF21E49">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318" w:name="_Toc304295521"/>
      <w:bookmarkStart w:id="319" w:name="_Toc303539100"/>
      <w:bookmarkStart w:id="320" w:name="_Toc318581155"/>
      <w:bookmarkStart w:id="321" w:name="_Toc300934943"/>
      <w:bookmarkStart w:id="322" w:name="_Toc312677986"/>
      <w:r>
        <w:rPr>
          <w:rFonts w:hint="eastAsia" w:ascii="宋体" w:hAnsi="宋体" w:eastAsia="宋体" w:cs="宋体"/>
          <w:color w:val="000000"/>
          <w:sz w:val="21"/>
          <w:szCs w:val="21"/>
          <w:highlight w:val="none"/>
        </w:rPr>
        <w:t>.10.1 出入现场的权利</w:t>
      </w:r>
    </w:p>
    <w:p w14:paraId="5FF82912">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关于出入现场的权利的约定：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bookmarkEnd w:id="318"/>
    <w:bookmarkEnd w:id="319"/>
    <w:bookmarkEnd w:id="320"/>
    <w:bookmarkEnd w:id="321"/>
    <w:bookmarkEnd w:id="322"/>
    <w:p w14:paraId="2EFA99E4">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323" w:name="_Toc318581156"/>
      <w:bookmarkStart w:id="324" w:name="_Toc300934944"/>
      <w:bookmarkStart w:id="325" w:name="_Toc312677987"/>
      <w:bookmarkStart w:id="326" w:name="_Toc304295522"/>
      <w:bookmarkStart w:id="327" w:name="_Toc303539101"/>
      <w:r>
        <w:rPr>
          <w:rFonts w:hint="eastAsia" w:ascii="宋体" w:hAnsi="宋体" w:eastAsia="宋体" w:cs="宋体"/>
          <w:color w:val="000000"/>
          <w:sz w:val="21"/>
          <w:szCs w:val="21"/>
          <w:highlight w:val="none"/>
        </w:rPr>
        <w:t>.10.3 场内交通</w:t>
      </w:r>
    </w:p>
    <w:p w14:paraId="3FBBF06D">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关于场外交通和场内交通的边界的约定：</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3F0909D7">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关于发包人向承包人免费提供满足工程施工需要的场内道路和交通设施的约定：</w:t>
      </w:r>
      <w:r>
        <w:rPr>
          <w:rFonts w:hint="eastAsia" w:ascii="宋体" w:hAnsi="宋体" w:eastAsia="宋体" w:cs="宋体"/>
          <w:color w:val="000000"/>
          <w:sz w:val="21"/>
          <w:szCs w:val="21"/>
          <w:highlight w:val="none"/>
          <w:u w:val="single"/>
        </w:rPr>
        <w:t></w:t>
      </w:r>
      <w:bookmarkEnd w:id="323"/>
      <w:bookmarkEnd w:id="324"/>
      <w:bookmarkEnd w:id="325"/>
      <w:bookmarkEnd w:id="326"/>
      <w:bookmarkEnd w:id="327"/>
      <w:bookmarkStart w:id="328" w:name="_Toc318581157"/>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eastAsia="zh-CN"/>
        </w:rPr>
        <w:t>。</w:t>
      </w:r>
    </w:p>
    <w:p w14:paraId="567ABF6D">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1.10.4超大件和超重件的运输</w:t>
      </w:r>
    </w:p>
    <w:p w14:paraId="4F705991">
      <w:pPr>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运输超大件或超重件所需的道路和桥梁临时加固改造费用和其他有关费用由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承担。</w:t>
      </w:r>
    </w:p>
    <w:bookmarkEnd w:id="328"/>
    <w:p w14:paraId="3C4983A7">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知识产权</w:t>
      </w:r>
    </w:p>
    <w:p w14:paraId="747CAD7F">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C06443F">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B109F6C">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1.11.2 关于承包人为实施工程所编制文件的著作权的归属：</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8707F2">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关于承包人提供的上述文件的使用限制的要求：</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6F99F56">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1.11.4 承包人在施工过程中所采用的专利、专有技术、技术秘密的使用费的承担方式：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kern w:val="0"/>
          <w:sz w:val="21"/>
          <w:szCs w:val="21"/>
          <w:highlight w:val="none"/>
        </w:rPr>
        <w:t>。</w:t>
      </w:r>
    </w:p>
    <w:p w14:paraId="25DE0439">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1.13工程量清单错误的修正</w:t>
      </w:r>
    </w:p>
    <w:p w14:paraId="013FA6BD">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出现工程量清单错误时，是否调整合同价格：</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kern w:val="0"/>
          <w:sz w:val="21"/>
          <w:szCs w:val="21"/>
          <w:highlight w:val="none"/>
        </w:rPr>
        <w:t>。</w:t>
      </w:r>
    </w:p>
    <w:p w14:paraId="457729FB">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允许调整合同价格的工程量偏差范围：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kern w:val="0"/>
          <w:sz w:val="21"/>
          <w:szCs w:val="21"/>
          <w:highlight w:val="none"/>
        </w:rPr>
        <w:t>。</w:t>
      </w:r>
    </w:p>
    <w:p w14:paraId="3D024B7E">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329" w:name="_Toc351203634"/>
      <w:r>
        <w:rPr>
          <w:rFonts w:hint="eastAsia" w:ascii="宋体" w:hAnsi="宋体" w:eastAsia="宋体" w:cs="宋体"/>
          <w:b/>
          <w:bCs/>
          <w:color w:val="000000"/>
          <w:sz w:val="21"/>
          <w:szCs w:val="21"/>
          <w:highlight w:val="none"/>
        </w:rPr>
        <w:t>2</w:t>
      </w:r>
      <w:bookmarkStart w:id="330" w:name="_Toc297120457"/>
      <w:bookmarkStart w:id="331" w:name="_Toc292559362"/>
      <w:bookmarkStart w:id="332" w:name="_Toc292559867"/>
      <w:bookmarkStart w:id="333" w:name="_Toc296891197"/>
      <w:bookmarkStart w:id="334" w:name="_Toc296346658"/>
      <w:bookmarkStart w:id="335" w:name="_Toc296347156"/>
      <w:bookmarkStart w:id="336" w:name="_Toc296503157"/>
      <w:bookmarkStart w:id="337" w:name="_Toc296944496"/>
      <w:bookmarkStart w:id="338" w:name="_Toc297048343"/>
      <w:bookmarkStart w:id="339" w:name="_Toc296890985"/>
      <w:r>
        <w:rPr>
          <w:rFonts w:hint="eastAsia" w:ascii="宋体" w:hAnsi="宋体" w:eastAsia="宋体" w:cs="宋体"/>
          <w:b/>
          <w:bCs/>
          <w:color w:val="000000"/>
          <w:sz w:val="21"/>
          <w:szCs w:val="21"/>
          <w:highlight w:val="none"/>
        </w:rPr>
        <w:t>. 发包人</w:t>
      </w:r>
      <w:bookmarkEnd w:id="329"/>
    </w:p>
    <w:bookmarkEnd w:id="330"/>
    <w:bookmarkEnd w:id="331"/>
    <w:bookmarkEnd w:id="332"/>
    <w:bookmarkEnd w:id="333"/>
    <w:bookmarkEnd w:id="334"/>
    <w:bookmarkEnd w:id="335"/>
    <w:bookmarkEnd w:id="336"/>
    <w:bookmarkEnd w:id="337"/>
    <w:bookmarkEnd w:id="338"/>
    <w:bookmarkEnd w:id="339"/>
    <w:p w14:paraId="64B07FE3">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2.2 </w:t>
      </w:r>
      <w:r>
        <w:rPr>
          <w:rFonts w:hint="eastAsia" w:ascii="宋体" w:hAnsi="宋体" w:eastAsia="宋体" w:cs="宋体"/>
          <w:color w:val="000000"/>
          <w:sz w:val="21"/>
          <w:szCs w:val="21"/>
          <w:highlight w:val="none"/>
        </w:rPr>
        <w:t>发包人代表</w:t>
      </w:r>
    </w:p>
    <w:p w14:paraId="24B8D9C6">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1B7F038C">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1F6CEC1C">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4F2ACE56">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5CF69802">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  </w:t>
      </w:r>
      <w:r>
        <w:rPr>
          <w:rFonts w:hint="eastAsia" w:ascii="宋体" w:hAnsi="宋体" w:eastAsia="宋体" w:cs="宋体"/>
          <w:color w:val="000000"/>
          <w:sz w:val="21"/>
          <w:szCs w:val="21"/>
          <w:highlight w:val="none"/>
        </w:rPr>
        <w:t>；</w:t>
      </w:r>
    </w:p>
    <w:p w14:paraId="6415021F">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   </w:t>
      </w:r>
      <w:r>
        <w:rPr>
          <w:rFonts w:hint="eastAsia" w:ascii="宋体" w:hAnsi="宋体" w:eastAsia="宋体" w:cs="宋体"/>
          <w:color w:val="000000"/>
          <w:sz w:val="21"/>
          <w:szCs w:val="21"/>
          <w:highlight w:val="none"/>
        </w:rPr>
        <w:t>；</w:t>
      </w:r>
    </w:p>
    <w:p w14:paraId="101B07D1">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28C76BCC">
      <w:pPr>
        <w:pageBreakBefore w:val="0"/>
        <w:widowControl w:val="0"/>
        <w:kinsoku/>
        <w:wordWrap/>
        <w:overflowPunct/>
        <w:topLinePunct w:val="0"/>
        <w:bidi w:val="0"/>
        <w:snapToGrid/>
        <w:spacing w:line="360" w:lineRule="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13907C6">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2.4 </w:t>
      </w:r>
      <w:r>
        <w:rPr>
          <w:rFonts w:hint="eastAsia" w:ascii="宋体" w:hAnsi="宋体" w:eastAsia="宋体" w:cs="宋体"/>
          <w:color w:val="000000"/>
          <w:sz w:val="21"/>
          <w:szCs w:val="21"/>
          <w:highlight w:val="none"/>
        </w:rPr>
        <w:t>施工现场、施工条件和基础资料的提供</w:t>
      </w:r>
    </w:p>
    <w:p w14:paraId="47777843">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 提供施工现场</w:t>
      </w:r>
    </w:p>
    <w:p w14:paraId="366176E2">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关于发包人移交施工现场的期限要求：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8CB2048">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 提供施工条件</w:t>
      </w:r>
    </w:p>
    <w:p w14:paraId="04527A62">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关于发包人应负责提供施工所需要的条件，包括：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CD1BC3B">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2.5 </w:t>
      </w:r>
      <w:r>
        <w:rPr>
          <w:rFonts w:hint="eastAsia" w:ascii="宋体" w:hAnsi="宋体" w:eastAsia="宋体" w:cs="宋体"/>
          <w:color w:val="000000"/>
          <w:sz w:val="21"/>
          <w:szCs w:val="21"/>
          <w:highlight w:val="none"/>
        </w:rPr>
        <w:t>资金来源证明及支付担保</w:t>
      </w:r>
    </w:p>
    <w:p w14:paraId="45A54A8F">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发包人提供资金来源证明的期限要求：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114F8A8">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发包人是否提供支付担保：</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6027A84">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发包人提供支付担保的形式：</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67355077">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340" w:name="_Toc351203635"/>
      <w:r>
        <w:rPr>
          <w:rFonts w:hint="eastAsia" w:ascii="宋体" w:hAnsi="宋体" w:eastAsia="宋体" w:cs="宋体"/>
          <w:b/>
          <w:bCs/>
          <w:color w:val="000000"/>
          <w:sz w:val="21"/>
          <w:szCs w:val="21"/>
          <w:highlight w:val="none"/>
        </w:rPr>
        <w:t>3</w:t>
      </w:r>
      <w:bookmarkStart w:id="341" w:name="_Toc296890986"/>
      <w:bookmarkStart w:id="342" w:name="_Toc296891198"/>
      <w:bookmarkStart w:id="343" w:name="_Toc297120458"/>
      <w:bookmarkStart w:id="344" w:name="_Toc296346659"/>
      <w:bookmarkStart w:id="345" w:name="_Toc296503158"/>
      <w:bookmarkStart w:id="346" w:name="_Toc292559363"/>
      <w:bookmarkStart w:id="347" w:name="_Toc297048344"/>
      <w:bookmarkStart w:id="348" w:name="_Toc296944497"/>
      <w:bookmarkStart w:id="349" w:name="_Toc292559868"/>
      <w:bookmarkStart w:id="350" w:name="_Toc296347157"/>
      <w:r>
        <w:rPr>
          <w:rFonts w:hint="eastAsia" w:ascii="宋体" w:hAnsi="宋体" w:eastAsia="宋体" w:cs="宋体"/>
          <w:b/>
          <w:bCs/>
          <w:color w:val="000000"/>
          <w:sz w:val="21"/>
          <w:szCs w:val="21"/>
          <w:highlight w:val="none"/>
        </w:rPr>
        <w:t>. 承包人</w:t>
      </w:r>
      <w:bookmarkEnd w:id="340"/>
    </w:p>
    <w:bookmarkEnd w:id="341"/>
    <w:bookmarkEnd w:id="342"/>
    <w:bookmarkEnd w:id="343"/>
    <w:bookmarkEnd w:id="344"/>
    <w:bookmarkEnd w:id="345"/>
    <w:bookmarkEnd w:id="346"/>
    <w:bookmarkEnd w:id="347"/>
    <w:bookmarkEnd w:id="348"/>
    <w:bookmarkEnd w:id="349"/>
    <w:bookmarkEnd w:id="350"/>
    <w:p w14:paraId="2A9A78CF">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3.1 </w:t>
      </w:r>
      <w:r>
        <w:rPr>
          <w:rFonts w:hint="eastAsia" w:ascii="宋体" w:hAnsi="宋体" w:eastAsia="宋体" w:cs="宋体"/>
          <w:color w:val="000000"/>
          <w:sz w:val="21"/>
          <w:szCs w:val="21"/>
          <w:highlight w:val="none"/>
        </w:rPr>
        <w:t>承包人的一般义务</w:t>
      </w:r>
    </w:p>
    <w:p w14:paraId="2168AAC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（9）</w:t>
      </w:r>
      <w:r>
        <w:rPr>
          <w:rFonts w:hint="eastAsia" w:ascii="宋体" w:hAnsi="宋体" w:eastAsia="宋体" w:cs="宋体"/>
          <w:color w:val="000000"/>
          <w:sz w:val="21"/>
          <w:szCs w:val="21"/>
          <w:highlight w:val="none"/>
        </w:rPr>
        <w:t>承包人提交的竣工资料的内容：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237C3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承包人需要提交的竣工资料套数：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9A9AA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承包人提交的竣工资料的费用承担：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73CFCB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承包人提交的竣工资料移交时间：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961CE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承包人提交的竣工资料形式要求：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C24BFF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（10）承包人应履行的其他义务：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6BA5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3.2 </w:t>
      </w:r>
      <w:r>
        <w:rPr>
          <w:rFonts w:hint="eastAsia" w:ascii="宋体" w:hAnsi="宋体" w:eastAsia="宋体" w:cs="宋体"/>
          <w:color w:val="000000"/>
          <w:sz w:val="21"/>
          <w:szCs w:val="21"/>
          <w:highlight w:val="none"/>
        </w:rPr>
        <w:t>项目经理</w:t>
      </w:r>
    </w:p>
    <w:p w14:paraId="5B6C98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3.2.1 </w:t>
      </w:r>
      <w:r>
        <w:rPr>
          <w:rFonts w:hint="eastAsia" w:ascii="宋体" w:hAnsi="宋体" w:eastAsia="宋体" w:cs="宋体"/>
          <w:color w:val="000000"/>
          <w:sz w:val="21"/>
          <w:szCs w:val="21"/>
          <w:highlight w:val="none"/>
        </w:rPr>
        <w:t>项目经理：</w:t>
      </w:r>
    </w:p>
    <w:p w14:paraId="4FEB818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4C9F8E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44633CC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建造师执业资格等级：</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789371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建造师注册证书号：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4D10AC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建造师执业印章号：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290262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安全生产考核合格证书号：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628E9E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1C77CB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4BF5CF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5EF0C3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承包人对项目经理的授权范围如下：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116228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关于项目经理每月在施工现场的时间要求：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68FBF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rPr>
        <w:t>承包人未提交劳动合同，以及没有为项目经理缴纳社会保险证明的违约责任：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eastAsia="zh-CN"/>
        </w:rPr>
        <w:t>。</w:t>
      </w:r>
    </w:p>
    <w:p w14:paraId="5A0898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项目经理未经批准，擅自离开施工现场的违约责任：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lang w:eastAsia="zh-CN"/>
        </w:rPr>
        <w:t>。</w:t>
      </w:r>
    </w:p>
    <w:p w14:paraId="6C2333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 承包人擅自更换项目经理的违约责任：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D5D4BC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3.2.4 承包人无正当理由拒绝更换项目经理的违约责任：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p>
    <w:p w14:paraId="60E6B2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3.3 </w:t>
      </w:r>
      <w:r>
        <w:rPr>
          <w:rFonts w:hint="eastAsia" w:ascii="宋体" w:hAnsi="宋体" w:eastAsia="宋体" w:cs="宋体"/>
          <w:color w:val="000000"/>
          <w:sz w:val="21"/>
          <w:szCs w:val="21"/>
          <w:highlight w:val="none"/>
        </w:rPr>
        <w:t>承包人人员</w:t>
      </w:r>
    </w:p>
    <w:p w14:paraId="25BC92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承包人提交项目管理机构及施工现场管理人员安排报告的期限：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43B80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承包人无正当理由拒绝撤换主要施工管理人员的违约责任：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2E1C1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3.3.4 承包人主要施工管理人员离开施工现场的批准要求：</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p>
    <w:p w14:paraId="43BEEEA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3.5承包人擅自更换主要施工管理人员的违约责任：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w:t>
      </w:r>
    </w:p>
    <w:p w14:paraId="4000930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承包人主要施工管理人员擅自离开施工现场的违约责任：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504EDC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3</w:t>
      </w:r>
      <w:bookmarkStart w:id="351" w:name="_Toc312677988"/>
      <w:bookmarkStart w:id="352" w:name="_Toc303539102"/>
      <w:bookmarkStart w:id="353" w:name="_Toc300934945"/>
      <w:bookmarkStart w:id="354" w:name="_Toc304295523"/>
      <w:bookmarkStart w:id="355" w:name="_Toc297120459"/>
      <w:bookmarkStart w:id="356" w:name="_Toc292559364"/>
      <w:bookmarkStart w:id="357" w:name="_Toc296346660"/>
      <w:bookmarkStart w:id="358" w:name="_Toc292559869"/>
      <w:bookmarkStart w:id="359" w:name="_Toc297216151"/>
      <w:bookmarkStart w:id="360" w:name="_Toc296347158"/>
      <w:bookmarkStart w:id="361" w:name="_Toc296891199"/>
      <w:bookmarkStart w:id="362" w:name="_Toc296944498"/>
      <w:bookmarkStart w:id="363" w:name="_Toc297123492"/>
      <w:bookmarkStart w:id="364" w:name="_Toc296890987"/>
      <w:bookmarkStart w:id="365" w:name="_Toc296503159"/>
      <w:bookmarkStart w:id="366" w:name="_Toc297048345"/>
      <w:r>
        <w:rPr>
          <w:rFonts w:hint="eastAsia" w:ascii="宋体" w:hAnsi="宋体" w:eastAsia="宋体" w:cs="宋体"/>
          <w:b/>
          <w:bCs/>
          <w:color w:val="000000"/>
          <w:sz w:val="21"/>
          <w:szCs w:val="21"/>
          <w:highlight w:val="none"/>
        </w:rPr>
        <w:t xml:space="preserve">.5 </w:t>
      </w:r>
      <w:r>
        <w:rPr>
          <w:rFonts w:hint="eastAsia" w:ascii="宋体" w:hAnsi="宋体" w:eastAsia="宋体" w:cs="宋体"/>
          <w:color w:val="000000"/>
          <w:sz w:val="21"/>
          <w:szCs w:val="21"/>
          <w:highlight w:val="none"/>
        </w:rPr>
        <w:t>分包</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3A41FA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bookmarkStart w:id="367" w:name="_Toc292559870"/>
      <w:bookmarkStart w:id="368" w:name="_Toc303539103"/>
      <w:bookmarkStart w:id="369" w:name="_Toc296891200"/>
      <w:bookmarkStart w:id="370" w:name="_Toc296347159"/>
      <w:bookmarkStart w:id="371" w:name="_Toc296944499"/>
      <w:bookmarkStart w:id="372" w:name="_Toc292559365"/>
      <w:bookmarkStart w:id="373" w:name="_Toc297123493"/>
      <w:bookmarkStart w:id="374" w:name="_Toc296503160"/>
      <w:bookmarkStart w:id="375" w:name="_Toc304295524"/>
      <w:bookmarkStart w:id="376" w:name="_Toc296346661"/>
      <w:bookmarkStart w:id="377" w:name="_Toc300934946"/>
      <w:bookmarkStart w:id="378" w:name="_Toc297048346"/>
      <w:bookmarkStart w:id="379" w:name="_Toc296890988"/>
      <w:bookmarkStart w:id="380" w:name="_Toc297120460"/>
      <w:bookmarkStart w:id="381" w:name="_Toc297216152"/>
      <w:bookmarkStart w:id="382" w:name="_Toc312677989"/>
      <w:bookmarkStart w:id="383" w:name="_Toc318581158"/>
      <w:r>
        <w:rPr>
          <w:rFonts w:hint="eastAsia" w:ascii="宋体" w:hAnsi="宋体" w:eastAsia="宋体" w:cs="宋体"/>
          <w:color w:val="000000"/>
          <w:sz w:val="21"/>
          <w:szCs w:val="21"/>
          <w:highlight w:val="none"/>
        </w:rPr>
        <w:t>.5.1 分包的一般约定</w:t>
      </w:r>
    </w:p>
    <w:p w14:paraId="035ECF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禁止分包的工程包括：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E8B83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主体结构、关键性工作的范围：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Start w:id="384" w:name="_Toc297123494"/>
      <w:bookmarkStart w:id="385" w:name="_Toc297216153"/>
      <w:bookmarkStart w:id="386" w:name="_Toc296347160"/>
      <w:bookmarkStart w:id="387" w:name="_Toc300934947"/>
      <w:bookmarkStart w:id="388" w:name="_Toc296944500"/>
      <w:bookmarkStart w:id="389" w:name="_Toc304295525"/>
      <w:bookmarkStart w:id="390" w:name="_Toc297120461"/>
      <w:bookmarkStart w:id="391" w:name="_Toc296891201"/>
      <w:bookmarkStart w:id="392" w:name="_Toc296503161"/>
      <w:bookmarkStart w:id="393" w:name="_Toc297048347"/>
      <w:bookmarkStart w:id="394" w:name="_Toc303539104"/>
      <w:bookmarkStart w:id="395" w:name="_Toc296890989"/>
      <w:bookmarkStart w:id="396" w:name="_Toc296346662"/>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21356C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bookmarkStart w:id="397" w:name="_Toc312677990"/>
      <w:bookmarkStart w:id="398" w:name="_Toc318581159"/>
      <w:r>
        <w:rPr>
          <w:rFonts w:hint="eastAsia" w:ascii="宋体" w:hAnsi="宋体" w:eastAsia="宋体" w:cs="宋体"/>
          <w:color w:val="000000"/>
          <w:sz w:val="21"/>
          <w:szCs w:val="21"/>
          <w:highlight w:val="none"/>
        </w:rPr>
        <w:t>.5.2分包的确定</w:t>
      </w:r>
    </w:p>
    <w:p w14:paraId="269338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允许分包的专业工程包括：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8A40D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其他关于分包的约定：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28F21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 分包合同价款</w:t>
      </w:r>
    </w:p>
    <w:p w14:paraId="5C1EF6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关于分包合同价款支付的约定：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397"/>
    <w:bookmarkEnd w:id="398"/>
    <w:p w14:paraId="7C1549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3.6 </w:t>
      </w:r>
      <w:r>
        <w:rPr>
          <w:rFonts w:hint="eastAsia" w:ascii="宋体" w:hAnsi="宋体" w:eastAsia="宋体" w:cs="宋体"/>
          <w:color w:val="000000"/>
          <w:sz w:val="21"/>
          <w:szCs w:val="21"/>
          <w:highlight w:val="none"/>
        </w:rPr>
        <w:t>工程照管与成品、半成品保护</w:t>
      </w:r>
    </w:p>
    <w:p w14:paraId="7BD5E5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承包人负责照管工程及工程相关的材料、工程设备的起始时间：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F231BC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 履约担保</w:t>
      </w:r>
    </w:p>
    <w:p w14:paraId="03DE878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承包人是否提供履约担保：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3942C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承包人提供履约担保的形式、金额及期限的：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BF6BCEA">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399" w:name="_Toc351203636"/>
      <w:r>
        <w:rPr>
          <w:rFonts w:hint="eastAsia" w:ascii="宋体" w:hAnsi="宋体" w:eastAsia="宋体" w:cs="宋体"/>
          <w:b/>
          <w:bCs/>
          <w:color w:val="000000"/>
          <w:sz w:val="21"/>
          <w:szCs w:val="21"/>
          <w:highlight w:val="none"/>
        </w:rPr>
        <w:t>4</w:t>
      </w:r>
      <w:bookmarkStart w:id="400" w:name="_Toc292559871"/>
      <w:bookmarkStart w:id="401" w:name="_Toc267251413"/>
      <w:bookmarkStart w:id="402" w:name="_Toc292559366"/>
      <w:bookmarkStart w:id="403" w:name="_Toc297120462"/>
      <w:bookmarkStart w:id="404" w:name="_Toc296347161"/>
      <w:bookmarkStart w:id="405" w:name="_Toc296890990"/>
      <w:bookmarkStart w:id="406" w:name="_Toc296346663"/>
      <w:bookmarkStart w:id="407" w:name="_Toc296944501"/>
      <w:bookmarkStart w:id="408" w:name="_Toc296503162"/>
      <w:bookmarkStart w:id="409" w:name="_Toc296891202"/>
      <w:bookmarkStart w:id="410" w:name="_Toc297048348"/>
      <w:r>
        <w:rPr>
          <w:rFonts w:hint="eastAsia" w:ascii="宋体" w:hAnsi="宋体" w:eastAsia="宋体" w:cs="宋体"/>
          <w:b/>
          <w:bCs/>
          <w:color w:val="000000"/>
          <w:sz w:val="21"/>
          <w:szCs w:val="21"/>
          <w:highlight w:val="none"/>
        </w:rPr>
        <w:t>. 监</w:t>
      </w:r>
      <w:bookmarkEnd w:id="400"/>
      <w:bookmarkEnd w:id="401"/>
      <w:bookmarkEnd w:id="402"/>
      <w:bookmarkEnd w:id="403"/>
      <w:bookmarkEnd w:id="404"/>
      <w:bookmarkEnd w:id="405"/>
      <w:bookmarkEnd w:id="406"/>
      <w:bookmarkEnd w:id="407"/>
      <w:bookmarkEnd w:id="408"/>
      <w:bookmarkEnd w:id="409"/>
      <w:bookmarkEnd w:id="410"/>
      <w:r>
        <w:rPr>
          <w:rFonts w:hint="eastAsia" w:ascii="宋体" w:hAnsi="宋体" w:eastAsia="宋体" w:cs="宋体"/>
          <w:b/>
          <w:bCs/>
          <w:color w:val="000000"/>
          <w:sz w:val="21"/>
          <w:szCs w:val="21"/>
          <w:highlight w:val="none"/>
        </w:rPr>
        <w:t>理人</w:t>
      </w:r>
      <w:bookmarkEnd w:id="399"/>
    </w:p>
    <w:p w14:paraId="30A5C6DD">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4.1</w:t>
      </w:r>
      <w:r>
        <w:rPr>
          <w:rFonts w:hint="eastAsia" w:ascii="宋体" w:hAnsi="宋体" w:eastAsia="宋体" w:cs="宋体"/>
          <w:color w:val="000000"/>
          <w:sz w:val="21"/>
          <w:szCs w:val="21"/>
          <w:highlight w:val="none"/>
        </w:rPr>
        <w:t>监理人的一般规定</w:t>
      </w:r>
    </w:p>
    <w:p w14:paraId="51152877">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41A65FE">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关于监理人的监理权限：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3DF0D864">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关于监理人在施工现场的办公场所、生活场所的提供和费用承担的约定：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C31A28">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4.2</w:t>
      </w:r>
      <w:r>
        <w:rPr>
          <w:rFonts w:hint="eastAsia" w:ascii="宋体" w:hAnsi="宋体" w:eastAsia="宋体" w:cs="宋体"/>
          <w:color w:val="000000"/>
          <w:sz w:val="21"/>
          <w:szCs w:val="21"/>
          <w:highlight w:val="none"/>
        </w:rPr>
        <w:t xml:space="preserve"> 监理人员</w:t>
      </w:r>
    </w:p>
    <w:p w14:paraId="19F8E92F">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p w14:paraId="44935832">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73AAAFDF">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56505DCC">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监理工程师执业资格证书号：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54DB7D6D">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01D73313">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2F511C31">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354D7AFA">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关于监理人的其他约定：</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146734DD">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4.4 </w:t>
      </w:r>
      <w:r>
        <w:rPr>
          <w:rFonts w:hint="eastAsia" w:ascii="宋体" w:hAnsi="宋体" w:eastAsia="宋体" w:cs="宋体"/>
          <w:color w:val="000000"/>
          <w:sz w:val="21"/>
          <w:szCs w:val="21"/>
          <w:highlight w:val="none"/>
        </w:rPr>
        <w:t>商定或确定</w:t>
      </w:r>
    </w:p>
    <w:p w14:paraId="7CCFB12D">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bookmarkStart w:id="411" w:name="_Toc267251418"/>
      <w:r>
        <w:rPr>
          <w:rFonts w:hint="eastAsia" w:ascii="宋体" w:hAnsi="宋体" w:eastAsia="宋体" w:cs="宋体"/>
          <w:color w:val="000000"/>
          <w:sz w:val="21"/>
          <w:szCs w:val="21"/>
          <w:highlight w:val="none"/>
        </w:rPr>
        <w:t>在发包人和承包人不能通过协商达成一致意见时，发包人授权监理人对以下事项进行确定：</w:t>
      </w:r>
    </w:p>
    <w:p w14:paraId="4FC15161">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82495BA">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28386A1">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2AA5EAE">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412" w:name="_Toc351203637"/>
      <w:r>
        <w:rPr>
          <w:rFonts w:hint="eastAsia" w:ascii="宋体" w:hAnsi="宋体" w:eastAsia="宋体" w:cs="宋体"/>
          <w:b/>
          <w:bCs/>
          <w:color w:val="000000"/>
          <w:sz w:val="21"/>
          <w:szCs w:val="21"/>
          <w:highlight w:val="none"/>
        </w:rPr>
        <w:t>5</w:t>
      </w:r>
      <w:bookmarkEnd w:id="411"/>
      <w:bookmarkStart w:id="413" w:name="_Toc296944502"/>
      <w:bookmarkStart w:id="414" w:name="_Toc296503163"/>
      <w:bookmarkStart w:id="415" w:name="_Toc292559367"/>
      <w:bookmarkStart w:id="416" w:name="_Toc296347162"/>
      <w:bookmarkStart w:id="417" w:name="_Toc296891203"/>
      <w:bookmarkStart w:id="418" w:name="_Toc296346664"/>
      <w:bookmarkStart w:id="419" w:name="_Toc296890991"/>
      <w:bookmarkStart w:id="420" w:name="_Toc297048349"/>
      <w:bookmarkStart w:id="421" w:name="_Toc297120463"/>
      <w:bookmarkStart w:id="422" w:name="_Toc292559872"/>
      <w:r>
        <w:rPr>
          <w:rFonts w:hint="eastAsia" w:ascii="宋体" w:hAnsi="宋体" w:eastAsia="宋体" w:cs="宋体"/>
          <w:b/>
          <w:bCs/>
          <w:color w:val="000000"/>
          <w:sz w:val="21"/>
          <w:szCs w:val="21"/>
          <w:highlight w:val="none"/>
        </w:rPr>
        <w:t>. 工程质量</w:t>
      </w:r>
      <w:bookmarkEnd w:id="412"/>
    </w:p>
    <w:p w14:paraId="0D165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5.1</w:t>
      </w:r>
      <w:r>
        <w:rPr>
          <w:rFonts w:hint="eastAsia" w:ascii="宋体" w:hAnsi="宋体" w:eastAsia="宋体" w:cs="宋体"/>
          <w:color w:val="000000"/>
          <w:sz w:val="21"/>
          <w:szCs w:val="21"/>
          <w:highlight w:val="none"/>
        </w:rPr>
        <w:t xml:space="preserve"> 质量要求</w:t>
      </w:r>
    </w:p>
    <w:p w14:paraId="31C323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bookmarkStart w:id="423" w:name="_Toc297216155"/>
      <w:bookmarkStart w:id="424" w:name="_Toc297123496"/>
      <w:bookmarkStart w:id="425" w:name="_Toc312677997"/>
      <w:bookmarkStart w:id="426" w:name="_Toc318581164"/>
      <w:bookmarkStart w:id="427" w:name="_Toc303539106"/>
      <w:bookmarkStart w:id="428" w:name="_Toc304295527"/>
      <w:bookmarkStart w:id="429" w:name="_Toc300934949"/>
      <w:r>
        <w:rPr>
          <w:rFonts w:hint="eastAsia" w:ascii="宋体" w:hAnsi="宋体" w:eastAsia="宋体" w:cs="宋体"/>
          <w:color w:val="000000"/>
          <w:sz w:val="21"/>
          <w:szCs w:val="21"/>
          <w:highlight w:val="none"/>
        </w:rPr>
        <w:t>.1.1 特殊质量标准和要求：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95886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关于工程奖项的约定：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32935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 隐蔽工程检查</w:t>
      </w:r>
    </w:p>
    <w:p w14:paraId="719796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5.3.2承包人提前通知监理人隐蔽工程检查的期限的约定：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217D1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监理人不能按时进行检查时，应提前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小时提交书面延期要求。</w:t>
      </w:r>
    </w:p>
    <w:p w14:paraId="541C7D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w:t>
      </w:r>
    </w:p>
    <w:p w14:paraId="186C16A4">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430" w:name="_Toc351203638"/>
      <w:r>
        <w:rPr>
          <w:rFonts w:hint="eastAsia" w:ascii="宋体" w:hAnsi="宋体" w:eastAsia="宋体" w:cs="宋体"/>
          <w:b/>
          <w:bCs/>
          <w:color w:val="000000"/>
          <w:sz w:val="21"/>
          <w:szCs w:val="21"/>
          <w:highlight w:val="none"/>
        </w:rPr>
        <w:t>6. 安全文明施工与环境保护</w:t>
      </w:r>
      <w:bookmarkEnd w:id="430"/>
    </w:p>
    <w:p w14:paraId="60170F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6.1</w:t>
      </w:r>
      <w:r>
        <w:rPr>
          <w:rFonts w:hint="eastAsia" w:ascii="宋体" w:hAnsi="宋体" w:eastAsia="宋体" w:cs="宋体"/>
          <w:color w:val="000000"/>
          <w:sz w:val="21"/>
          <w:szCs w:val="21"/>
          <w:highlight w:val="none"/>
        </w:rPr>
        <w:t>安全文明施工</w:t>
      </w:r>
    </w:p>
    <w:p w14:paraId="15AA6D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 项目安全生产的达标目标及相应事项的约定：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C9E7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6.1.4 关于治安保卫的特别约定：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946D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关于编制施工场地治安管理计划的约定：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8C906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6.1.5 文明施工</w:t>
      </w:r>
    </w:p>
    <w:p w14:paraId="65114B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合同当事人对文明施工的要求：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B6868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6.1.6 关于安全文明施工费支付比例和支付期限的约定：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423"/>
    <w:bookmarkEnd w:id="424"/>
    <w:bookmarkEnd w:id="425"/>
    <w:bookmarkEnd w:id="426"/>
    <w:bookmarkEnd w:id="427"/>
    <w:bookmarkEnd w:id="428"/>
    <w:bookmarkEnd w:id="429"/>
    <w:p w14:paraId="3AC869E3">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431" w:name="_Toc351203639"/>
      <w:r>
        <w:rPr>
          <w:rFonts w:hint="eastAsia" w:ascii="宋体" w:hAnsi="宋体" w:eastAsia="宋体" w:cs="宋体"/>
          <w:b/>
          <w:bCs/>
          <w:color w:val="000000"/>
          <w:sz w:val="21"/>
          <w:szCs w:val="21"/>
          <w:highlight w:val="none"/>
        </w:rPr>
        <w:t>7. 工期和进度</w:t>
      </w:r>
      <w:bookmarkEnd w:id="431"/>
    </w:p>
    <w:p w14:paraId="434ED062">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7.1</w:t>
      </w:r>
      <w:r>
        <w:rPr>
          <w:rFonts w:hint="eastAsia" w:ascii="宋体" w:hAnsi="宋体" w:eastAsia="宋体" w:cs="宋体"/>
          <w:color w:val="000000"/>
          <w:sz w:val="21"/>
          <w:szCs w:val="21"/>
          <w:highlight w:val="none"/>
        </w:rPr>
        <w:t xml:space="preserve"> 施工组织设计</w:t>
      </w:r>
    </w:p>
    <w:p w14:paraId="344C2C9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7.1.1 合</w:t>
      </w:r>
      <w:r>
        <w:rPr>
          <w:rFonts w:hint="eastAsia" w:ascii="宋体" w:hAnsi="宋体" w:eastAsia="宋体" w:cs="宋体"/>
          <w:color w:val="000000"/>
          <w:kern w:val="0"/>
          <w:sz w:val="21"/>
          <w:szCs w:val="21"/>
          <w:highlight w:val="none"/>
        </w:rPr>
        <w:t>同当事人约定的施工组织设计应包括的其他内容：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C49DC7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 xml:space="preserve">7.1.2 </w:t>
      </w:r>
      <w:r>
        <w:rPr>
          <w:rFonts w:hint="eastAsia" w:ascii="宋体" w:hAnsi="宋体" w:eastAsia="宋体" w:cs="宋体"/>
          <w:color w:val="000000"/>
          <w:kern w:val="0"/>
          <w:sz w:val="21"/>
          <w:szCs w:val="21"/>
          <w:highlight w:val="none"/>
        </w:rPr>
        <w:t>施工组织设计的提交和修改</w:t>
      </w:r>
    </w:p>
    <w:p w14:paraId="35B7484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承包人提交详细施工组织设计的期限的约定：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CD4A8A9">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发包人和监理人在收到详细的施工组织设计后确认或提出修改意见的</w:t>
      </w:r>
      <w:r>
        <w:rPr>
          <w:rFonts w:hint="eastAsia" w:ascii="宋体" w:hAnsi="宋体" w:eastAsia="宋体" w:cs="宋体"/>
          <w:color w:val="000000"/>
          <w:szCs w:val="21"/>
          <w:highlight w:val="none"/>
          <w:lang w:eastAsia="zh-CN"/>
        </w:rPr>
        <w:t>期限</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none"/>
          <w:lang w:val="en-US" w:eastAsia="zh-CN"/>
        </w:rPr>
        <w:t>。</w:t>
      </w:r>
    </w:p>
    <w:p w14:paraId="54A523F1">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w:t>
      </w:r>
      <w:bookmarkStart w:id="432" w:name="_Toc312677479"/>
      <w:bookmarkStart w:id="433" w:name="_Toc300934966"/>
      <w:bookmarkStart w:id="434" w:name="_Toc304295541"/>
      <w:bookmarkStart w:id="435" w:name="_Toc297123514"/>
      <w:bookmarkStart w:id="436" w:name="_Toc297216173"/>
      <w:bookmarkStart w:id="437" w:name="_Toc303539123"/>
      <w:bookmarkStart w:id="438" w:name="_Toc312678005"/>
      <w:r>
        <w:rPr>
          <w:rFonts w:hint="eastAsia" w:ascii="宋体" w:hAnsi="宋体" w:eastAsia="宋体" w:cs="宋体"/>
          <w:b/>
          <w:bCs/>
          <w:color w:val="000000"/>
          <w:sz w:val="21"/>
          <w:szCs w:val="21"/>
          <w:highlight w:val="none"/>
        </w:rPr>
        <w:t xml:space="preserve">.2 </w:t>
      </w:r>
      <w:r>
        <w:rPr>
          <w:rFonts w:hint="eastAsia" w:ascii="宋体" w:hAnsi="宋体" w:eastAsia="宋体" w:cs="宋体"/>
          <w:color w:val="000000"/>
          <w:sz w:val="21"/>
          <w:szCs w:val="21"/>
          <w:highlight w:val="none"/>
        </w:rPr>
        <w:t>施工进度计划</w:t>
      </w:r>
    </w:p>
    <w:p w14:paraId="36B53926">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7.2.2 施工进度计划的修订</w:t>
      </w:r>
    </w:p>
    <w:p w14:paraId="3920B079">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发包人和监理人在收到修订的施工进度计划后确认或提出修改意见的</w:t>
      </w:r>
      <w:r>
        <w:rPr>
          <w:rFonts w:hint="eastAsia" w:ascii="宋体" w:hAnsi="宋体" w:eastAsia="宋体" w:cs="宋体"/>
          <w:color w:val="000000"/>
          <w:sz w:val="21"/>
          <w:szCs w:val="21"/>
          <w:highlight w:val="none"/>
          <w:lang w:eastAsia="zh-CN"/>
        </w:rPr>
        <w:t>期限</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none"/>
          <w:lang w:val="en-US" w:eastAsia="zh-CN"/>
        </w:rPr>
        <w:t>。</w:t>
      </w:r>
      <w:r>
        <w:rPr>
          <w:rFonts w:hint="eastAsia" w:ascii="宋体" w:hAnsi="宋体" w:eastAsia="宋体" w:cs="宋体"/>
          <w:color w:val="000000"/>
          <w:sz w:val="21"/>
          <w:szCs w:val="21"/>
          <w:highlight w:val="none"/>
          <w:lang w:val="en-US" w:eastAsia="zh-CN"/>
        </w:rPr>
        <w:t xml:space="preserve">           </w:t>
      </w:r>
    </w:p>
    <w:p w14:paraId="36AA6280">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7.3</w:t>
      </w:r>
      <w:r>
        <w:rPr>
          <w:rFonts w:hint="eastAsia" w:ascii="宋体" w:hAnsi="宋体" w:eastAsia="宋体" w:cs="宋体"/>
          <w:color w:val="000000"/>
          <w:sz w:val="21"/>
          <w:szCs w:val="21"/>
          <w:highlight w:val="none"/>
        </w:rPr>
        <w:t xml:space="preserve"> 开工</w:t>
      </w:r>
    </w:p>
    <w:p w14:paraId="68F9D423">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7.3.1 开工准备</w:t>
      </w:r>
    </w:p>
    <w:p w14:paraId="595D3D1A">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关于承包人提交</w:t>
      </w:r>
      <w:r>
        <w:rPr>
          <w:rFonts w:hint="eastAsia" w:ascii="宋体" w:hAnsi="宋体" w:eastAsia="宋体" w:cs="宋体"/>
          <w:color w:val="000000"/>
          <w:kern w:val="0"/>
          <w:sz w:val="21"/>
          <w:szCs w:val="21"/>
          <w:highlight w:val="none"/>
        </w:rPr>
        <w:t>工程开工报审表的期限：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E993015">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关于发包人应完成的其他开工准备工作及期限：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454ED7">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关于承包人应完成的其他开工准备工作及期限：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26E7F2E">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7.3.2开工通知</w:t>
      </w:r>
    </w:p>
    <w:p w14:paraId="2DAEB2CA">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因发包人原因造成监理人未能在计划开工日期之日起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天内发出开工通知的，承包人有权提出价格调整要求，或者解除合同。</w:t>
      </w:r>
    </w:p>
    <w:bookmarkEnd w:id="432"/>
    <w:bookmarkEnd w:id="433"/>
    <w:bookmarkEnd w:id="434"/>
    <w:bookmarkEnd w:id="435"/>
    <w:bookmarkEnd w:id="436"/>
    <w:bookmarkEnd w:id="437"/>
    <w:bookmarkEnd w:id="438"/>
    <w:p w14:paraId="26E4EC6F">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7.4</w:t>
      </w:r>
      <w:r>
        <w:rPr>
          <w:rFonts w:hint="eastAsia" w:ascii="宋体" w:hAnsi="宋体" w:eastAsia="宋体" w:cs="宋体"/>
          <w:color w:val="000000"/>
          <w:sz w:val="21"/>
          <w:szCs w:val="21"/>
          <w:highlight w:val="none"/>
        </w:rPr>
        <w:t xml:space="preserve"> 测量放线</w:t>
      </w:r>
    </w:p>
    <w:p w14:paraId="5E31845B">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7.4.1发包人通过监理人向承包人提供测量基准点、基准线和水准点及其书面资料的</w:t>
      </w:r>
      <w:r>
        <w:rPr>
          <w:rFonts w:hint="eastAsia" w:ascii="宋体" w:hAnsi="宋体" w:eastAsia="宋体" w:cs="宋体"/>
          <w:color w:val="000000"/>
          <w:sz w:val="21"/>
          <w:szCs w:val="21"/>
          <w:highlight w:val="none"/>
          <w:lang w:eastAsia="zh-CN"/>
        </w:rPr>
        <w:t>期限：</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w:t>
      </w:r>
    </w:p>
    <w:p w14:paraId="6076962A">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w:t>
      </w:r>
      <w:bookmarkStart w:id="439" w:name="_Toc312677484"/>
      <w:bookmarkStart w:id="440" w:name="_Toc300934968"/>
      <w:bookmarkStart w:id="441" w:name="_Toc297216175"/>
      <w:bookmarkStart w:id="442" w:name="_Toc303539125"/>
      <w:bookmarkStart w:id="443" w:name="_Toc312678010"/>
      <w:bookmarkStart w:id="444" w:name="_Toc304295546"/>
      <w:bookmarkStart w:id="445" w:name="_Toc297123516"/>
      <w:r>
        <w:rPr>
          <w:rFonts w:hint="eastAsia" w:ascii="宋体" w:hAnsi="宋体" w:eastAsia="宋体" w:cs="宋体"/>
          <w:b/>
          <w:bCs/>
          <w:color w:val="000000"/>
          <w:sz w:val="21"/>
          <w:szCs w:val="21"/>
          <w:highlight w:val="none"/>
        </w:rPr>
        <w:t xml:space="preserve">.5 </w:t>
      </w:r>
      <w:r>
        <w:rPr>
          <w:rFonts w:hint="eastAsia" w:ascii="宋体" w:hAnsi="宋体" w:eastAsia="宋体" w:cs="宋体"/>
          <w:color w:val="000000"/>
          <w:sz w:val="21"/>
          <w:szCs w:val="21"/>
          <w:highlight w:val="none"/>
        </w:rPr>
        <w:t>工期延误</w:t>
      </w:r>
    </w:p>
    <w:bookmarkEnd w:id="439"/>
    <w:bookmarkEnd w:id="440"/>
    <w:bookmarkEnd w:id="441"/>
    <w:bookmarkEnd w:id="442"/>
    <w:bookmarkEnd w:id="443"/>
    <w:bookmarkEnd w:id="444"/>
    <w:bookmarkEnd w:id="445"/>
    <w:p w14:paraId="5477437E">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7.5.1 因发包人原因导致工期延误</w:t>
      </w:r>
    </w:p>
    <w:p w14:paraId="5A7FDC27">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（7）因发包人原因导致工期延误的其他情形：</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947899C">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bookmarkStart w:id="446" w:name="_Toc312678012"/>
      <w:bookmarkStart w:id="447" w:name="_Toc312677486"/>
      <w:bookmarkStart w:id="448" w:name="_Toc318581169"/>
      <w:bookmarkStart w:id="449" w:name="_Toc300934970"/>
      <w:bookmarkStart w:id="450" w:name="_Toc297216177"/>
      <w:bookmarkStart w:id="451" w:name="_Toc303539127"/>
      <w:bookmarkStart w:id="452" w:name="_Toc297123518"/>
      <w:bookmarkStart w:id="453" w:name="_Toc304295548"/>
      <w:r>
        <w:rPr>
          <w:rFonts w:hint="eastAsia" w:ascii="宋体" w:hAnsi="宋体" w:eastAsia="宋体" w:cs="宋体"/>
          <w:color w:val="000000"/>
          <w:sz w:val="21"/>
          <w:szCs w:val="21"/>
          <w:highlight w:val="none"/>
        </w:rPr>
        <w:t>.5.2 因承包人原因导致工期延误</w:t>
      </w:r>
    </w:p>
    <w:bookmarkEnd w:id="446"/>
    <w:bookmarkEnd w:id="447"/>
    <w:bookmarkEnd w:id="448"/>
    <w:p w14:paraId="3EABD53E">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w:t>
      </w:r>
      <w:bookmarkStart w:id="454" w:name="_Toc312678013"/>
      <w:bookmarkStart w:id="455" w:name="_Toc312677487"/>
      <w:bookmarkStart w:id="456" w:name="_Toc318581170"/>
      <w:r>
        <w:rPr>
          <w:rFonts w:hint="eastAsia" w:ascii="宋体" w:hAnsi="宋体" w:eastAsia="宋体" w:cs="宋体"/>
          <w:color w:val="000000"/>
          <w:sz w:val="21"/>
          <w:szCs w:val="21"/>
          <w:highlight w:val="none"/>
        </w:rPr>
        <w:t>承包人原因造成工期延误，逾期竣工违约金的计算方法为：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bookmarkEnd w:id="449"/>
      <w:bookmarkEnd w:id="450"/>
      <w:bookmarkEnd w:id="451"/>
      <w:bookmarkEnd w:id="452"/>
      <w:bookmarkEnd w:id="453"/>
      <w:bookmarkEnd w:id="454"/>
      <w:bookmarkEnd w:id="455"/>
    </w:p>
    <w:bookmarkEnd w:id="456"/>
    <w:p w14:paraId="7F8D3FE4">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因承包人原因造成工期延误，逾</w:t>
      </w:r>
      <w:bookmarkStart w:id="457" w:name="_Toc312678014"/>
      <w:bookmarkStart w:id="458" w:name="_Toc318581171"/>
      <w:r>
        <w:rPr>
          <w:rFonts w:hint="eastAsia" w:ascii="宋体" w:hAnsi="宋体" w:eastAsia="宋体" w:cs="宋体"/>
          <w:color w:val="000000"/>
          <w:sz w:val="21"/>
          <w:szCs w:val="21"/>
          <w:highlight w:val="none"/>
        </w:rPr>
        <w:t>期竣工违约金的上限：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457"/>
    <w:bookmarkEnd w:id="458"/>
    <w:p w14:paraId="4A137DDC">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w:t>
      </w:r>
      <w:bookmarkStart w:id="459" w:name="_Toc304295549"/>
      <w:bookmarkStart w:id="460" w:name="_Toc303539128"/>
      <w:bookmarkStart w:id="461" w:name="_Toc297123519"/>
      <w:bookmarkStart w:id="462" w:name="_Toc300934971"/>
      <w:bookmarkStart w:id="463" w:name="_Toc312678015"/>
      <w:bookmarkStart w:id="464" w:name="_Toc297216178"/>
      <w:r>
        <w:rPr>
          <w:rFonts w:hint="eastAsia" w:ascii="宋体" w:hAnsi="宋体" w:eastAsia="宋体" w:cs="宋体"/>
          <w:b/>
          <w:bCs/>
          <w:color w:val="000000"/>
          <w:sz w:val="21"/>
          <w:szCs w:val="21"/>
          <w:highlight w:val="none"/>
        </w:rPr>
        <w:t xml:space="preserve">.6 </w:t>
      </w:r>
      <w:r>
        <w:rPr>
          <w:rFonts w:hint="eastAsia" w:ascii="宋体" w:hAnsi="宋体" w:eastAsia="宋体" w:cs="宋体"/>
          <w:color w:val="000000"/>
          <w:sz w:val="21"/>
          <w:szCs w:val="21"/>
          <w:highlight w:val="none"/>
        </w:rPr>
        <w:t>不</w:t>
      </w:r>
      <w:bookmarkEnd w:id="459"/>
      <w:bookmarkEnd w:id="460"/>
      <w:bookmarkEnd w:id="461"/>
      <w:bookmarkEnd w:id="462"/>
      <w:bookmarkEnd w:id="463"/>
      <w:bookmarkEnd w:id="464"/>
      <w:r>
        <w:rPr>
          <w:rFonts w:hint="eastAsia" w:ascii="宋体" w:hAnsi="宋体" w:eastAsia="宋体" w:cs="宋体"/>
          <w:color w:val="000000"/>
          <w:sz w:val="21"/>
          <w:szCs w:val="21"/>
          <w:highlight w:val="none"/>
        </w:rPr>
        <w:t>利物质条件</w:t>
      </w:r>
    </w:p>
    <w:p w14:paraId="04329D8F">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bookmarkStart w:id="465" w:name="_Toc318581172"/>
      <w:bookmarkStart w:id="466" w:name="_Toc304295550"/>
      <w:bookmarkStart w:id="467" w:name="_Toc312678016"/>
      <w:bookmarkStart w:id="468" w:name="_Toc297216179"/>
      <w:bookmarkStart w:id="469" w:name="_Toc297123520"/>
      <w:bookmarkStart w:id="470" w:name="_Toc303539129"/>
      <w:bookmarkStart w:id="471" w:name="_Toc300934972"/>
      <w:r>
        <w:rPr>
          <w:rFonts w:hint="eastAsia" w:ascii="宋体" w:hAnsi="宋体" w:eastAsia="宋体" w:cs="宋体"/>
          <w:color w:val="000000"/>
          <w:sz w:val="21"/>
          <w:szCs w:val="21"/>
          <w:highlight w:val="none"/>
        </w:rPr>
        <w:t>不利物质条件的其他情形和有关约定：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465"/>
    <w:bookmarkEnd w:id="466"/>
    <w:bookmarkEnd w:id="467"/>
    <w:bookmarkEnd w:id="468"/>
    <w:bookmarkEnd w:id="469"/>
    <w:bookmarkEnd w:id="470"/>
    <w:bookmarkEnd w:id="471"/>
    <w:p w14:paraId="020EFFFC">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w:t>
      </w:r>
      <w:bookmarkStart w:id="472" w:name="_Toc312678017"/>
      <w:bookmarkStart w:id="473" w:name="_Toc297216180"/>
      <w:bookmarkStart w:id="474" w:name="_Toc297123521"/>
      <w:bookmarkStart w:id="475" w:name="_Toc304295551"/>
      <w:bookmarkStart w:id="476" w:name="_Toc300934973"/>
      <w:bookmarkStart w:id="477" w:name="_Toc303539130"/>
      <w:r>
        <w:rPr>
          <w:rFonts w:hint="eastAsia" w:ascii="宋体" w:hAnsi="宋体" w:eastAsia="宋体" w:cs="宋体"/>
          <w:b/>
          <w:bCs/>
          <w:color w:val="000000"/>
          <w:sz w:val="21"/>
          <w:szCs w:val="21"/>
          <w:highlight w:val="none"/>
        </w:rPr>
        <w:t>.7</w:t>
      </w:r>
      <w:r>
        <w:rPr>
          <w:rFonts w:hint="eastAsia" w:ascii="宋体" w:hAnsi="宋体" w:eastAsia="宋体" w:cs="宋体"/>
          <w:color w:val="000000"/>
          <w:sz w:val="21"/>
          <w:szCs w:val="21"/>
          <w:highlight w:val="none"/>
        </w:rPr>
        <w:t>异常恶劣的气候条件</w:t>
      </w:r>
    </w:p>
    <w:bookmarkEnd w:id="472"/>
    <w:bookmarkEnd w:id="473"/>
    <w:bookmarkEnd w:id="474"/>
    <w:bookmarkEnd w:id="475"/>
    <w:bookmarkEnd w:id="476"/>
    <w:bookmarkEnd w:id="477"/>
    <w:p w14:paraId="4A853910">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发包人和承包人同意以下情形视为异常恶劣的气候条件：</w:t>
      </w:r>
    </w:p>
    <w:p w14:paraId="1D62FC85">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00EF64C">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52CF9E7">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C16E838">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7.9</w:t>
      </w:r>
      <w:r>
        <w:rPr>
          <w:rFonts w:hint="eastAsia" w:ascii="宋体" w:hAnsi="宋体" w:eastAsia="宋体" w:cs="宋体"/>
          <w:color w:val="000000"/>
          <w:sz w:val="21"/>
          <w:szCs w:val="21"/>
          <w:highlight w:val="none"/>
        </w:rPr>
        <w:t xml:space="preserve"> 提前竣工的奖励</w:t>
      </w:r>
    </w:p>
    <w:p w14:paraId="424DC224">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7.9.2提前竣工的奖励：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CD32EAD">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478" w:name="_Toc351203640"/>
      <w:r>
        <w:rPr>
          <w:rFonts w:hint="eastAsia" w:ascii="宋体" w:hAnsi="宋体" w:eastAsia="宋体" w:cs="宋体"/>
          <w:b/>
          <w:bCs/>
          <w:color w:val="000000"/>
          <w:sz w:val="21"/>
          <w:szCs w:val="21"/>
          <w:highlight w:val="none"/>
        </w:rPr>
        <w:t>8. 材料与设备</w:t>
      </w:r>
      <w:bookmarkEnd w:id="478"/>
    </w:p>
    <w:bookmarkEnd w:id="413"/>
    <w:bookmarkEnd w:id="414"/>
    <w:bookmarkEnd w:id="415"/>
    <w:bookmarkEnd w:id="416"/>
    <w:bookmarkEnd w:id="417"/>
    <w:bookmarkEnd w:id="418"/>
    <w:bookmarkEnd w:id="419"/>
    <w:bookmarkEnd w:id="420"/>
    <w:bookmarkEnd w:id="421"/>
    <w:bookmarkEnd w:id="422"/>
    <w:p w14:paraId="7C948053">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8</w:t>
      </w:r>
      <w:bookmarkStart w:id="479" w:name="_Toc296503167"/>
      <w:bookmarkStart w:id="480" w:name="_Toc296346668"/>
      <w:bookmarkStart w:id="481" w:name="_Toc312678019"/>
      <w:bookmarkStart w:id="482" w:name="_Toc304295556"/>
      <w:bookmarkStart w:id="483" w:name="_Toc297216186"/>
      <w:bookmarkStart w:id="484" w:name="_Toc297123527"/>
      <w:bookmarkStart w:id="485" w:name="_Toc312677493"/>
      <w:bookmarkStart w:id="486" w:name="_Toc296347166"/>
      <w:bookmarkStart w:id="487" w:name="_Toc300934979"/>
      <w:bookmarkStart w:id="488" w:name="_Toc292559877"/>
      <w:bookmarkStart w:id="489" w:name="_Toc296891207"/>
      <w:bookmarkStart w:id="490" w:name="_Toc297048353"/>
      <w:bookmarkStart w:id="491" w:name="_Toc297120467"/>
      <w:bookmarkStart w:id="492" w:name="_Toc280868654"/>
      <w:bookmarkStart w:id="493" w:name="_Toc292559372"/>
      <w:bookmarkStart w:id="494" w:name="_Toc296944506"/>
      <w:bookmarkStart w:id="495" w:name="_Toc296890995"/>
      <w:bookmarkStart w:id="496" w:name="_Toc303539136"/>
      <w:bookmarkStart w:id="497" w:name="_Toc280868655"/>
      <w:bookmarkStart w:id="498" w:name="_Toc280868656"/>
      <w:bookmarkStart w:id="499" w:name="_Toc267251424"/>
      <w:r>
        <w:rPr>
          <w:rFonts w:hint="eastAsia" w:ascii="宋体" w:hAnsi="宋体" w:eastAsia="宋体" w:cs="宋体"/>
          <w:b/>
          <w:bCs/>
          <w:color w:val="000000"/>
          <w:sz w:val="21"/>
          <w:szCs w:val="21"/>
          <w:highlight w:val="none"/>
        </w:rPr>
        <w:t>.4</w:t>
      </w:r>
      <w:r>
        <w:rPr>
          <w:rFonts w:hint="eastAsia" w:ascii="宋体" w:hAnsi="宋体" w:eastAsia="宋体" w:cs="宋体"/>
          <w:color w:val="000000"/>
          <w:sz w:val="21"/>
          <w:szCs w:val="21"/>
          <w:highlight w:val="none"/>
        </w:rPr>
        <w:t>材料与工程设备的保管与使用</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14:paraId="339E6036">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bookmarkStart w:id="500" w:name="_Toc292559878"/>
      <w:bookmarkStart w:id="501" w:name="_Toc292559373"/>
      <w:bookmarkStart w:id="502" w:name="_Toc297120468"/>
      <w:bookmarkStart w:id="503" w:name="_Toc297123528"/>
      <w:bookmarkStart w:id="504" w:name="_Toc304295557"/>
      <w:bookmarkStart w:id="505" w:name="_Toc297216187"/>
      <w:bookmarkStart w:id="506" w:name="_Toc296346669"/>
      <w:bookmarkStart w:id="507" w:name="_Toc296944507"/>
      <w:bookmarkStart w:id="508" w:name="_Toc303539137"/>
      <w:bookmarkStart w:id="509" w:name="_Toc318581173"/>
      <w:bookmarkStart w:id="510" w:name="_Toc296891208"/>
      <w:bookmarkStart w:id="511" w:name="_Toc312678020"/>
      <w:bookmarkStart w:id="512" w:name="_Toc296890996"/>
      <w:bookmarkStart w:id="513" w:name="_Toc296347167"/>
      <w:bookmarkStart w:id="514" w:name="_Toc296503168"/>
      <w:bookmarkStart w:id="515" w:name="_Toc297048354"/>
      <w:bookmarkStart w:id="516" w:name="_Toc300934980"/>
      <w:bookmarkStart w:id="517" w:name="_Toc312677494"/>
      <w:r>
        <w:rPr>
          <w:rFonts w:hint="eastAsia" w:ascii="宋体" w:hAnsi="宋体" w:eastAsia="宋体" w:cs="宋体"/>
          <w:color w:val="000000"/>
          <w:sz w:val="21"/>
          <w:szCs w:val="21"/>
          <w:highlight w:val="none"/>
        </w:rPr>
        <w:t>.4.1发包人供应的材料设备的保管费用的承担：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bookmarkEnd w:id="500"/>
      <w:bookmarkEnd w:id="501"/>
    </w:p>
    <w:p w14:paraId="3DABD814">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8.6 </w:t>
      </w:r>
      <w:r>
        <w:rPr>
          <w:rFonts w:hint="eastAsia" w:ascii="宋体" w:hAnsi="宋体" w:eastAsia="宋体" w:cs="宋体"/>
          <w:color w:val="000000"/>
          <w:sz w:val="21"/>
          <w:szCs w:val="21"/>
          <w:highlight w:val="none"/>
        </w:rPr>
        <w:t>样品</w:t>
      </w:r>
    </w:p>
    <w:p w14:paraId="146841F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8.6.1</w:t>
      </w:r>
      <w:r>
        <w:rPr>
          <w:rFonts w:hint="eastAsia" w:ascii="宋体" w:hAnsi="宋体" w:eastAsia="宋体" w:cs="宋体"/>
          <w:color w:val="000000"/>
          <w:kern w:val="0"/>
          <w:sz w:val="21"/>
          <w:szCs w:val="21"/>
          <w:highlight w:val="none"/>
        </w:rPr>
        <w:tab/>
      </w:r>
      <w:r>
        <w:rPr>
          <w:rFonts w:hint="eastAsia" w:ascii="宋体" w:hAnsi="宋体" w:eastAsia="宋体" w:cs="宋体"/>
          <w:color w:val="000000"/>
          <w:kern w:val="0"/>
          <w:sz w:val="21"/>
          <w:szCs w:val="21"/>
          <w:highlight w:val="none"/>
        </w:rPr>
        <w:t>样品的报送与封存</w:t>
      </w:r>
    </w:p>
    <w:p w14:paraId="47F2E1E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需要承包人报送样品的材料或工程设备，样品的种类、名称、规格、数量要求：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434F68">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8.8 </w:t>
      </w:r>
      <w:r>
        <w:rPr>
          <w:rFonts w:hint="eastAsia" w:ascii="宋体" w:hAnsi="宋体" w:eastAsia="宋体" w:cs="宋体"/>
          <w:color w:val="000000"/>
          <w:sz w:val="21"/>
          <w:szCs w:val="21"/>
          <w:highlight w:val="none"/>
        </w:rPr>
        <w:t>施工设备和临时设施</w:t>
      </w:r>
    </w:p>
    <w:p w14:paraId="1441AAD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8.8.1 承包人提供的施工设备和临时设施</w:t>
      </w:r>
    </w:p>
    <w:p w14:paraId="231B93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关于修建临时设施费用承担的约定：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6E6F82AC">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518" w:name="_Toc351203641"/>
      <w:r>
        <w:rPr>
          <w:rFonts w:hint="eastAsia" w:ascii="宋体" w:hAnsi="宋体" w:eastAsia="宋体" w:cs="宋体"/>
          <w:b/>
          <w:bCs/>
          <w:color w:val="000000"/>
          <w:sz w:val="21"/>
          <w:szCs w:val="21"/>
          <w:highlight w:val="none"/>
        </w:rPr>
        <w:t>9</w:t>
      </w:r>
      <w:bookmarkEnd w:id="497"/>
      <w:bookmarkEnd w:id="498"/>
      <w:bookmarkEnd w:id="499"/>
      <w:bookmarkStart w:id="519" w:name="_Toc312677495"/>
      <w:bookmarkStart w:id="520" w:name="_Toc304295559"/>
      <w:bookmarkStart w:id="521" w:name="_Toc297216192"/>
      <w:bookmarkStart w:id="522" w:name="_Toc297123533"/>
      <w:bookmarkStart w:id="523" w:name="_Toc300934982"/>
      <w:bookmarkStart w:id="524" w:name="_Toc303539139"/>
      <w:bookmarkStart w:id="525" w:name="_Toc312678021"/>
      <w:bookmarkStart w:id="526" w:name="_Toc267251428"/>
      <w:bookmarkStart w:id="527" w:name="_Toc267251427"/>
      <w:bookmarkStart w:id="528" w:name="_Toc296503173"/>
      <w:bookmarkStart w:id="529" w:name="_Toc296944512"/>
      <w:bookmarkStart w:id="530" w:name="_Toc296891001"/>
      <w:bookmarkStart w:id="531" w:name="_Toc292559883"/>
      <w:bookmarkStart w:id="532" w:name="_Toc296346674"/>
      <w:bookmarkStart w:id="533" w:name="_Toc297120473"/>
      <w:bookmarkStart w:id="534" w:name="_Toc292559378"/>
      <w:bookmarkStart w:id="535" w:name="_Toc296891213"/>
      <w:bookmarkStart w:id="536" w:name="_Toc296347172"/>
      <w:bookmarkStart w:id="537" w:name="_Toc297048359"/>
      <w:r>
        <w:rPr>
          <w:rFonts w:hint="eastAsia" w:ascii="宋体" w:hAnsi="宋体" w:eastAsia="宋体" w:cs="宋体"/>
          <w:b/>
          <w:bCs/>
          <w:color w:val="000000"/>
          <w:sz w:val="21"/>
          <w:szCs w:val="21"/>
          <w:highlight w:val="none"/>
        </w:rPr>
        <w:t>. 试验与检验</w:t>
      </w:r>
      <w:bookmarkEnd w:id="518"/>
    </w:p>
    <w:bookmarkEnd w:id="519"/>
    <w:bookmarkEnd w:id="520"/>
    <w:bookmarkEnd w:id="521"/>
    <w:bookmarkEnd w:id="522"/>
    <w:bookmarkEnd w:id="523"/>
    <w:bookmarkEnd w:id="524"/>
    <w:bookmarkEnd w:id="525"/>
    <w:p w14:paraId="029DA42F">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9</w:t>
      </w:r>
      <w:bookmarkStart w:id="538" w:name="_Toc312678022"/>
      <w:bookmarkStart w:id="539" w:name="_Toc297216193"/>
      <w:bookmarkStart w:id="540" w:name="_Toc304295560"/>
      <w:bookmarkStart w:id="541" w:name="_Toc300934983"/>
      <w:bookmarkStart w:id="542" w:name="_Toc312677496"/>
      <w:bookmarkStart w:id="543" w:name="_Toc303539140"/>
      <w:bookmarkStart w:id="544" w:name="_Toc297123534"/>
      <w:r>
        <w:rPr>
          <w:rFonts w:hint="eastAsia" w:ascii="宋体" w:hAnsi="宋体" w:eastAsia="宋体" w:cs="宋体"/>
          <w:b/>
          <w:bCs/>
          <w:color w:val="000000"/>
          <w:sz w:val="21"/>
          <w:szCs w:val="21"/>
          <w:highlight w:val="none"/>
        </w:rPr>
        <w:t>.1</w:t>
      </w:r>
      <w:r>
        <w:rPr>
          <w:rFonts w:hint="eastAsia" w:ascii="宋体" w:hAnsi="宋体" w:eastAsia="宋体" w:cs="宋体"/>
          <w:color w:val="000000"/>
          <w:sz w:val="21"/>
          <w:szCs w:val="21"/>
          <w:highlight w:val="none"/>
        </w:rPr>
        <w:t>试验设备与试验人员</w:t>
      </w:r>
    </w:p>
    <w:bookmarkEnd w:id="538"/>
    <w:bookmarkEnd w:id="539"/>
    <w:bookmarkEnd w:id="540"/>
    <w:bookmarkEnd w:id="541"/>
    <w:bookmarkEnd w:id="542"/>
    <w:bookmarkEnd w:id="543"/>
    <w:bookmarkEnd w:id="544"/>
    <w:p w14:paraId="6C00C7C3">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bookmarkStart w:id="545" w:name="_Toc297123535"/>
      <w:bookmarkStart w:id="546" w:name="_Toc312678023"/>
      <w:bookmarkStart w:id="547" w:name="_Toc300934984"/>
      <w:bookmarkStart w:id="548" w:name="_Toc303539141"/>
      <w:bookmarkStart w:id="549" w:name="_Toc312677497"/>
      <w:bookmarkStart w:id="550" w:name="_Toc297216194"/>
      <w:bookmarkStart w:id="551" w:name="_Toc304295561"/>
      <w:bookmarkStart w:id="552" w:name="_Toc318581174"/>
      <w:r>
        <w:rPr>
          <w:rFonts w:hint="eastAsia" w:ascii="宋体" w:hAnsi="宋体" w:eastAsia="宋体" w:cs="宋体"/>
          <w:color w:val="000000"/>
          <w:sz w:val="21"/>
          <w:szCs w:val="21"/>
          <w:highlight w:val="none"/>
        </w:rPr>
        <w:t>.1.2 试验设备</w:t>
      </w:r>
    </w:p>
    <w:p w14:paraId="7F11B9D9">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施工现场需要配置的试验场所：</w:t>
      </w:r>
      <w:bookmarkEnd w:id="545"/>
      <w:bookmarkEnd w:id="546"/>
      <w:bookmarkEnd w:id="547"/>
      <w:bookmarkEnd w:id="548"/>
      <w:bookmarkEnd w:id="549"/>
      <w:bookmarkEnd w:id="550"/>
      <w:bookmarkEnd w:id="551"/>
      <w:bookmarkStart w:id="553" w:name="_Toc297216195"/>
      <w:bookmarkStart w:id="554" w:name="_Toc312678024"/>
      <w:bookmarkStart w:id="555" w:name="_Toc297123536"/>
      <w:bookmarkStart w:id="556" w:name="_Toc303539142"/>
      <w:bookmarkStart w:id="557" w:name="_Toc300934985"/>
      <w:bookmarkStart w:id="558" w:name="_Toc312677498"/>
      <w:bookmarkStart w:id="559" w:name="_Toc304295562"/>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6D8D65ED">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施工现场需要配备的试验设备：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E2C88D">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施工现场需要具备的其他试验条件：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6FD320E">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9.4 现场工艺试验 </w:t>
      </w:r>
    </w:p>
    <w:p w14:paraId="2551014C">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现场工艺试验的有关约定：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552"/>
    <w:bookmarkEnd w:id="553"/>
    <w:bookmarkEnd w:id="554"/>
    <w:bookmarkEnd w:id="555"/>
    <w:bookmarkEnd w:id="556"/>
    <w:bookmarkEnd w:id="557"/>
    <w:bookmarkEnd w:id="558"/>
    <w:bookmarkEnd w:id="559"/>
    <w:p w14:paraId="56EDD3BD">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560" w:name="_Toc351203642"/>
      <w:r>
        <w:rPr>
          <w:rFonts w:hint="eastAsia" w:ascii="宋体" w:hAnsi="宋体" w:eastAsia="宋体" w:cs="宋体"/>
          <w:b/>
          <w:bCs/>
          <w:color w:val="000000"/>
          <w:sz w:val="21"/>
          <w:szCs w:val="21"/>
          <w:highlight w:val="none"/>
        </w:rPr>
        <w:t>1</w:t>
      </w:r>
      <w:bookmarkEnd w:id="526"/>
      <w:bookmarkEnd w:id="527"/>
      <w:bookmarkEnd w:id="528"/>
      <w:bookmarkEnd w:id="529"/>
      <w:bookmarkEnd w:id="530"/>
      <w:bookmarkEnd w:id="531"/>
      <w:bookmarkEnd w:id="532"/>
      <w:bookmarkEnd w:id="533"/>
      <w:bookmarkEnd w:id="534"/>
      <w:bookmarkEnd w:id="535"/>
      <w:bookmarkEnd w:id="536"/>
      <w:bookmarkEnd w:id="537"/>
      <w:bookmarkStart w:id="561" w:name="_Toc296944532"/>
      <w:bookmarkStart w:id="562" w:name="_Toc296891021"/>
      <w:bookmarkStart w:id="563" w:name="_Toc296503193"/>
      <w:bookmarkStart w:id="564" w:name="_Toc296347192"/>
      <w:bookmarkStart w:id="565" w:name="_Toc297048379"/>
      <w:bookmarkStart w:id="566" w:name="_Toc296891233"/>
      <w:bookmarkStart w:id="567" w:name="_Toc300934989"/>
      <w:bookmarkStart w:id="568" w:name="_Toc304295566"/>
      <w:bookmarkStart w:id="569" w:name="_Toc303539146"/>
      <w:bookmarkStart w:id="570" w:name="_Toc297120493"/>
      <w:bookmarkStart w:id="571" w:name="_Toc296346694"/>
      <w:bookmarkStart w:id="572" w:name="_Toc292559903"/>
      <w:bookmarkStart w:id="573" w:name="_Toc292559398"/>
      <w:bookmarkStart w:id="574" w:name="_Toc297123540"/>
      <w:bookmarkStart w:id="575" w:name="_Toc297216199"/>
      <w:bookmarkStart w:id="576" w:name="_Toc312678025"/>
      <w:bookmarkStart w:id="577" w:name="_Toc312677499"/>
      <w:bookmarkStart w:id="578" w:name="_Toc267251441"/>
      <w:bookmarkStart w:id="579" w:name="_Toc267251440"/>
      <w:bookmarkStart w:id="580" w:name="_Toc267251433"/>
      <w:bookmarkStart w:id="581" w:name="_Toc267251437"/>
      <w:bookmarkStart w:id="582" w:name="_Toc267251435"/>
      <w:bookmarkStart w:id="583" w:name="_Toc267251439"/>
      <w:bookmarkStart w:id="584" w:name="_Toc267251442"/>
      <w:r>
        <w:rPr>
          <w:rFonts w:hint="eastAsia" w:ascii="宋体" w:hAnsi="宋体" w:eastAsia="宋体" w:cs="宋体"/>
          <w:b/>
          <w:bCs/>
          <w:color w:val="000000"/>
          <w:sz w:val="21"/>
          <w:szCs w:val="21"/>
          <w:highlight w:val="none"/>
        </w:rPr>
        <w:t>0. 变更</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bookmarkEnd w:id="576"/>
    <w:bookmarkEnd w:id="577"/>
    <w:p w14:paraId="3F482C63">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w:t>
      </w:r>
      <w:bookmarkStart w:id="585" w:name="_Toc304295567"/>
      <w:bookmarkStart w:id="586" w:name="_Toc303539147"/>
      <w:bookmarkStart w:id="587" w:name="_Toc297048380"/>
      <w:bookmarkStart w:id="588" w:name="_Toc296944533"/>
      <w:bookmarkStart w:id="589" w:name="_Toc297216200"/>
      <w:bookmarkStart w:id="590" w:name="_Toc296347193"/>
      <w:bookmarkStart w:id="591" w:name="_Toc292559399"/>
      <w:bookmarkStart w:id="592" w:name="_Toc312678026"/>
      <w:bookmarkStart w:id="593" w:name="_Toc297120494"/>
      <w:bookmarkStart w:id="594" w:name="_Toc296891022"/>
      <w:bookmarkStart w:id="595" w:name="_Toc292559904"/>
      <w:bookmarkStart w:id="596" w:name="_Toc296346695"/>
      <w:bookmarkStart w:id="597" w:name="_Toc312677500"/>
      <w:bookmarkStart w:id="598" w:name="_Toc296891234"/>
      <w:bookmarkStart w:id="599" w:name="_Toc300934990"/>
      <w:bookmarkStart w:id="600" w:name="_Toc296503194"/>
      <w:bookmarkStart w:id="601" w:name="_Toc297123541"/>
      <w:r>
        <w:rPr>
          <w:rFonts w:hint="eastAsia" w:ascii="宋体" w:hAnsi="宋体" w:eastAsia="宋体" w:cs="宋体"/>
          <w:b/>
          <w:bCs/>
          <w:color w:val="000000"/>
          <w:sz w:val="21"/>
          <w:szCs w:val="21"/>
          <w:highlight w:val="none"/>
        </w:rPr>
        <w:t>0.1</w:t>
      </w:r>
      <w:r>
        <w:rPr>
          <w:rFonts w:hint="eastAsia" w:ascii="宋体" w:hAnsi="宋体" w:eastAsia="宋体" w:cs="宋体"/>
          <w:color w:val="000000"/>
          <w:sz w:val="21"/>
          <w:szCs w:val="21"/>
          <w:highlight w:val="none"/>
        </w:rPr>
        <w:t>变更的范围</w:t>
      </w:r>
    </w:p>
    <w:p w14:paraId="0A3FF19A">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关于变更的范围的约定：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EED7E79">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10.4</w:t>
      </w:r>
      <w:r>
        <w:rPr>
          <w:rFonts w:hint="eastAsia" w:ascii="宋体" w:hAnsi="宋体" w:eastAsia="宋体" w:cs="宋体"/>
          <w:color w:val="000000"/>
          <w:sz w:val="21"/>
          <w:szCs w:val="21"/>
          <w:highlight w:val="none"/>
        </w:rPr>
        <w:t xml:space="preserve"> 变更估价</w:t>
      </w:r>
    </w:p>
    <w:p w14:paraId="5E5051F1">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10.4.1 变更估价原则</w:t>
      </w:r>
    </w:p>
    <w:p w14:paraId="18B018F2">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关于变更估价的约定: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66F58E">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Start w:id="602" w:name="_Toc292559907"/>
      <w:bookmarkStart w:id="603" w:name="_Toc297048383"/>
      <w:bookmarkStart w:id="604" w:name="_Toc297123544"/>
      <w:bookmarkStart w:id="605" w:name="_Toc296891237"/>
      <w:bookmarkStart w:id="606" w:name="_Toc292559402"/>
      <w:bookmarkStart w:id="607" w:name="_Toc297120497"/>
      <w:bookmarkStart w:id="608" w:name="_Toc296347196"/>
      <w:bookmarkStart w:id="609" w:name="_Toc297216203"/>
      <w:bookmarkStart w:id="610" w:name="_Toc296503197"/>
      <w:bookmarkStart w:id="611" w:name="_Toc296346698"/>
      <w:bookmarkStart w:id="612" w:name="_Toc300934993"/>
      <w:bookmarkStart w:id="613" w:name="_Toc303539150"/>
      <w:bookmarkStart w:id="614" w:name="_Toc296944536"/>
      <w:bookmarkStart w:id="615" w:name="_Toc296891025"/>
      <w:bookmarkStart w:id="616" w:name="_Toc304295570"/>
      <w:bookmarkStart w:id="617" w:name="_Toc312677503"/>
      <w:bookmarkStart w:id="618" w:name="_Toc312678029"/>
      <w:r>
        <w:rPr>
          <w:rFonts w:hint="eastAsia" w:ascii="宋体" w:hAnsi="宋体" w:eastAsia="宋体" w:cs="宋体"/>
          <w:b/>
          <w:bCs/>
          <w:color w:val="000000"/>
          <w:sz w:val="21"/>
          <w:szCs w:val="21"/>
          <w:highlight w:val="none"/>
        </w:rPr>
        <w:t>0.5</w:t>
      </w:r>
      <w:r>
        <w:rPr>
          <w:rFonts w:hint="eastAsia" w:ascii="宋体" w:hAnsi="宋体" w:eastAsia="宋体" w:cs="宋体"/>
          <w:color w:val="000000"/>
          <w:sz w:val="21"/>
          <w:szCs w:val="21"/>
          <w:highlight w:val="none"/>
        </w:rPr>
        <w:t>承</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9" w:name="_Toc296347202"/>
      <w:bookmarkStart w:id="620" w:name="_Toc292559408"/>
      <w:bookmarkStart w:id="621" w:name="_Toc296891031"/>
      <w:bookmarkStart w:id="622" w:name="_Toc292559913"/>
      <w:bookmarkStart w:id="623" w:name="_Toc297048389"/>
      <w:bookmarkStart w:id="624" w:name="_Toc303539151"/>
      <w:bookmarkStart w:id="625" w:name="_Toc296944542"/>
      <w:bookmarkStart w:id="626" w:name="_Toc297216204"/>
      <w:bookmarkStart w:id="627" w:name="_Toc296346704"/>
      <w:bookmarkStart w:id="628" w:name="_Toc296891243"/>
      <w:bookmarkStart w:id="629" w:name="_Toc297123545"/>
      <w:bookmarkStart w:id="630" w:name="_Toc297120503"/>
      <w:bookmarkStart w:id="631" w:name="_Toc296503203"/>
      <w:bookmarkStart w:id="632" w:name="_Toc300934994"/>
      <w:r>
        <w:rPr>
          <w:rFonts w:hint="eastAsia" w:ascii="宋体" w:hAnsi="宋体" w:eastAsia="宋体" w:cs="宋体"/>
          <w:color w:val="000000"/>
          <w:sz w:val="21"/>
          <w:szCs w:val="21"/>
          <w:highlight w:val="none"/>
        </w:rPr>
        <w:t>包人的合理化建议</w:t>
      </w:r>
    </w:p>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6E2F911A">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监理人审查承包人合理化建议的期限：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006A719">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发包人审批承包人合理化建议的期限：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CB531AE">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w:t>
      </w:r>
      <w:bookmarkStart w:id="633" w:name="_Toc297123546"/>
      <w:bookmarkStart w:id="634" w:name="_Toc304295571"/>
      <w:bookmarkStart w:id="635" w:name="_Toc296503204"/>
      <w:bookmarkStart w:id="636" w:name="_Toc292559409"/>
      <w:bookmarkStart w:id="637" w:name="_Toc300934995"/>
      <w:bookmarkStart w:id="638" w:name="_Toc312677504"/>
      <w:bookmarkStart w:id="639" w:name="_Toc312678030"/>
      <w:bookmarkStart w:id="640" w:name="_Toc296891032"/>
      <w:bookmarkStart w:id="641" w:name="_Toc297048390"/>
      <w:bookmarkStart w:id="642" w:name="_Toc296944543"/>
      <w:bookmarkStart w:id="643" w:name="_Toc296346705"/>
      <w:bookmarkStart w:id="644" w:name="_Toc296347203"/>
      <w:bookmarkStart w:id="645" w:name="_Toc297120504"/>
      <w:bookmarkStart w:id="646" w:name="_Toc303539152"/>
      <w:bookmarkStart w:id="647" w:name="_Toc297216205"/>
      <w:bookmarkStart w:id="648" w:name="_Toc318581175"/>
      <w:bookmarkStart w:id="649" w:name="_Toc292559914"/>
      <w:bookmarkStart w:id="650" w:name="_Toc296891244"/>
      <w:r>
        <w:rPr>
          <w:rFonts w:hint="eastAsia" w:ascii="宋体" w:hAnsi="宋体" w:eastAsia="宋体" w:cs="宋体"/>
          <w:color w:val="000000"/>
          <w:sz w:val="21"/>
          <w:szCs w:val="21"/>
          <w:highlight w:val="none"/>
        </w:rPr>
        <w:t>包人提出的合理化建议降低了合同价格或者提高了工程经济效益的奖励的方法和金额为：</w:t>
      </w:r>
      <w:r>
        <w:rPr>
          <w:rFonts w:hint="eastAsia" w:ascii="宋体" w:hAnsi="宋体" w:eastAsia="宋体" w:cs="宋体"/>
          <w:color w:val="000000"/>
          <w:sz w:val="21"/>
          <w:szCs w:val="21"/>
          <w:highlight w:val="none"/>
          <w:u w:val="single"/>
        </w:rPr>
        <w:t xml:space="preserve">                                </w:t>
      </w:r>
    </w:p>
    <w:p w14:paraId="32699E4B">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14:paraId="1DC3C4C7">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w:t>
      </w:r>
      <w:bookmarkStart w:id="651" w:name="_Toc300934997"/>
      <w:bookmarkStart w:id="652" w:name="_Toc296347198"/>
      <w:bookmarkStart w:id="653" w:name="_Toc304295574"/>
      <w:bookmarkStart w:id="654" w:name="_Toc296346700"/>
      <w:bookmarkStart w:id="655" w:name="_Toc297216207"/>
      <w:bookmarkStart w:id="656" w:name="_Toc312678033"/>
      <w:bookmarkStart w:id="657" w:name="_Toc296891239"/>
      <w:bookmarkStart w:id="658" w:name="_Toc296503199"/>
      <w:bookmarkStart w:id="659" w:name="_Toc296944538"/>
      <w:bookmarkStart w:id="660" w:name="_Toc303539154"/>
      <w:bookmarkStart w:id="661" w:name="_Toc296891027"/>
      <w:bookmarkStart w:id="662" w:name="_Toc292559404"/>
      <w:bookmarkStart w:id="663" w:name="_Toc297048385"/>
      <w:bookmarkStart w:id="664" w:name="_Toc312677507"/>
      <w:bookmarkStart w:id="665" w:name="_Toc292559909"/>
      <w:bookmarkStart w:id="666" w:name="_Toc297120499"/>
      <w:bookmarkStart w:id="667" w:name="_Toc297123548"/>
      <w:r>
        <w:rPr>
          <w:rFonts w:hint="eastAsia" w:ascii="宋体" w:hAnsi="宋体" w:eastAsia="宋体" w:cs="宋体"/>
          <w:b/>
          <w:bCs/>
          <w:color w:val="000000"/>
          <w:sz w:val="21"/>
          <w:szCs w:val="21"/>
          <w:highlight w:val="none"/>
        </w:rPr>
        <w:t xml:space="preserve">0.7 </w:t>
      </w:r>
      <w:r>
        <w:rPr>
          <w:rFonts w:hint="eastAsia" w:ascii="宋体" w:hAnsi="宋体" w:eastAsia="宋体" w:cs="宋体"/>
          <w:color w:val="000000"/>
          <w:sz w:val="21"/>
          <w:szCs w:val="21"/>
          <w:highlight w:val="none"/>
        </w:rPr>
        <w:t>暂估价</w:t>
      </w:r>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14:paraId="511FE4E3">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暂</w:t>
      </w:r>
      <w:bookmarkStart w:id="668" w:name="_Toc312678034"/>
      <w:bookmarkStart w:id="669" w:name="_Toc318581176"/>
      <w:bookmarkStart w:id="670" w:name="_Toc312677508"/>
      <w:r>
        <w:rPr>
          <w:rFonts w:hint="eastAsia" w:ascii="宋体" w:hAnsi="宋体" w:eastAsia="宋体" w:cs="宋体"/>
          <w:color w:val="000000"/>
          <w:kern w:val="0"/>
          <w:sz w:val="21"/>
          <w:szCs w:val="21"/>
          <w:highlight w:val="none"/>
        </w:rPr>
        <w:t>估价材料和工程设备的明细详见附件11：《</w:t>
      </w:r>
      <w:r>
        <w:rPr>
          <w:rFonts w:hint="eastAsia" w:ascii="宋体" w:hAnsi="宋体" w:eastAsia="宋体" w:cs="宋体"/>
          <w:color w:val="000000"/>
          <w:sz w:val="21"/>
          <w:szCs w:val="21"/>
          <w:highlight w:val="none"/>
        </w:rPr>
        <w:t>暂估价一览表》</w:t>
      </w:r>
      <w:r>
        <w:rPr>
          <w:rFonts w:hint="eastAsia" w:ascii="宋体" w:hAnsi="宋体" w:eastAsia="宋体" w:cs="宋体"/>
          <w:color w:val="000000"/>
          <w:kern w:val="0"/>
          <w:sz w:val="21"/>
          <w:szCs w:val="21"/>
          <w:highlight w:val="none"/>
        </w:rPr>
        <w:t>。</w:t>
      </w:r>
    </w:p>
    <w:bookmarkEnd w:id="668"/>
    <w:bookmarkEnd w:id="669"/>
    <w:bookmarkEnd w:id="670"/>
    <w:p w14:paraId="10499AF4">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671" w:name="_Toc312677509"/>
      <w:bookmarkStart w:id="672" w:name="_Toc318581177"/>
      <w:bookmarkStart w:id="673" w:name="_Toc312678035"/>
      <w:r>
        <w:rPr>
          <w:rFonts w:hint="eastAsia" w:ascii="宋体" w:hAnsi="宋体" w:eastAsia="宋体" w:cs="宋体"/>
          <w:color w:val="000000"/>
          <w:sz w:val="21"/>
          <w:szCs w:val="21"/>
          <w:highlight w:val="none"/>
        </w:rPr>
        <w:t>0.7.1 依法必须招标的暂估价项目</w:t>
      </w:r>
    </w:p>
    <w:bookmarkEnd w:id="671"/>
    <w:bookmarkEnd w:id="672"/>
    <w:bookmarkEnd w:id="673"/>
    <w:p w14:paraId="0B6F3DF8">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对于依法必须招标的暂估价项目的确认和批准采取第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种方式确定。</w:t>
      </w:r>
    </w:p>
    <w:p w14:paraId="6DC50E54">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10.7.2 不属于依法必须招标的暂估价项目</w:t>
      </w:r>
    </w:p>
    <w:p w14:paraId="5E3C37C4">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对于不属于依法必须招标的暂估价项目的确认和批准采取第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种方式确定。</w:t>
      </w:r>
    </w:p>
    <w:p w14:paraId="57D1DEBA">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第3种方式：</w:t>
      </w:r>
      <w:r>
        <w:rPr>
          <w:rFonts w:hint="eastAsia" w:ascii="宋体" w:hAnsi="宋体" w:eastAsia="宋体" w:cs="宋体"/>
          <w:color w:val="000000"/>
          <w:kern w:val="0"/>
          <w:sz w:val="21"/>
          <w:szCs w:val="21"/>
          <w:highlight w:val="none"/>
        </w:rPr>
        <w:t>承包人直接实施的暂估价项目</w:t>
      </w:r>
    </w:p>
    <w:p w14:paraId="4B8D7266">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承包人直接实施的暂估价项目的约定：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DCC2722">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10.8 </w:t>
      </w:r>
      <w:r>
        <w:rPr>
          <w:rFonts w:hint="eastAsia" w:ascii="宋体" w:hAnsi="宋体" w:eastAsia="宋体" w:cs="宋体"/>
          <w:color w:val="000000"/>
          <w:sz w:val="21"/>
          <w:szCs w:val="21"/>
          <w:highlight w:val="none"/>
        </w:rPr>
        <w:t>暂列金额</w:t>
      </w:r>
    </w:p>
    <w:p w14:paraId="32F21F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合同当事人关于暂列金额使用的约定：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794DCB02">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674" w:name="_Toc351203643"/>
      <w:r>
        <w:rPr>
          <w:rFonts w:hint="eastAsia" w:ascii="宋体" w:hAnsi="宋体" w:eastAsia="宋体" w:cs="宋体"/>
          <w:b/>
          <w:bCs/>
          <w:color w:val="000000"/>
          <w:sz w:val="21"/>
          <w:szCs w:val="21"/>
          <w:highlight w:val="none"/>
        </w:rPr>
        <w:t>11. 价格调整</w:t>
      </w:r>
      <w:bookmarkEnd w:id="674"/>
    </w:p>
    <w:p w14:paraId="441BF8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bookmarkStart w:id="675" w:name="_Toc296944540"/>
      <w:bookmarkStart w:id="676" w:name="_Toc296891029"/>
      <w:bookmarkStart w:id="677" w:name="_Toc300935000"/>
      <w:bookmarkStart w:id="678" w:name="_Toc304295577"/>
      <w:bookmarkStart w:id="679" w:name="_Toc297120501"/>
      <w:bookmarkStart w:id="680" w:name="_Toc296346702"/>
      <w:bookmarkStart w:id="681" w:name="_Toc297216209"/>
      <w:bookmarkStart w:id="682" w:name="_Toc312678039"/>
      <w:bookmarkStart w:id="683" w:name="_Toc296503201"/>
      <w:bookmarkStart w:id="684" w:name="_Toc296891241"/>
      <w:bookmarkStart w:id="685" w:name="_Toc297123550"/>
      <w:bookmarkStart w:id="686" w:name="_Toc292559406"/>
      <w:bookmarkStart w:id="687" w:name="_Toc292559911"/>
      <w:bookmarkStart w:id="688" w:name="_Toc297048387"/>
      <w:bookmarkStart w:id="689" w:name="_Toc303539157"/>
      <w:bookmarkStart w:id="690" w:name="_Toc296347200"/>
      <w:r>
        <w:rPr>
          <w:rFonts w:hint="eastAsia" w:ascii="宋体" w:hAnsi="宋体" w:eastAsia="宋体" w:cs="宋体"/>
          <w:b/>
          <w:bCs/>
          <w:color w:val="000000"/>
          <w:sz w:val="21"/>
          <w:szCs w:val="21"/>
          <w:highlight w:val="none"/>
        </w:rPr>
        <w:t xml:space="preserve">11.1 </w:t>
      </w:r>
      <w:r>
        <w:rPr>
          <w:rFonts w:hint="eastAsia" w:ascii="宋体" w:hAnsi="宋体" w:eastAsia="宋体" w:cs="宋体"/>
          <w:color w:val="000000"/>
          <w:sz w:val="21"/>
          <w:szCs w:val="21"/>
          <w:highlight w:val="none"/>
        </w:rPr>
        <w:t>市场价格波动引起的调整</w:t>
      </w:r>
    </w:p>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14:paraId="24E0CA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市场价格波动是否调整合同价格的约定：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117F9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因市场价格波动调整合同价格，采用以下第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种方式对合同价格进行调整：</w:t>
      </w:r>
    </w:p>
    <w:p w14:paraId="65AAEC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第1种方式：采用价格指数进行价格调整。</w:t>
      </w:r>
    </w:p>
    <w:p w14:paraId="7CA40E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关于各可调因子、定值和变值权重，以及基本价格指数及其来源的约定：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3C6B3A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第2种方式：采用造价信息进行价格调整。</w:t>
      </w:r>
    </w:p>
    <w:p w14:paraId="021A0F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（2）关于基准价格的约定：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5A7D6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%时，或材料单价跌幅以已标价工程量清单或预算书中载明材料单价为基础超过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%时，其超过部分据实调整。</w:t>
      </w:r>
    </w:p>
    <w:p w14:paraId="6037F3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%时，材料单价涨幅以已标价工程量清单或预算书中载明材料单价为基础超过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%时，其超过部分据实调整。</w:t>
      </w:r>
    </w:p>
    <w:p w14:paraId="24090F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%时，其超过部分据实调整。</w:t>
      </w:r>
    </w:p>
    <w:p w14:paraId="15B285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第3种方式：其他价格调整方式：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578"/>
    <w:bookmarkEnd w:id="579"/>
    <w:bookmarkEnd w:id="580"/>
    <w:bookmarkEnd w:id="581"/>
    <w:bookmarkEnd w:id="582"/>
    <w:bookmarkEnd w:id="583"/>
    <w:p w14:paraId="2A6AFEF6">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691" w:name="_Toc297120505"/>
      <w:bookmarkStart w:id="692" w:name="_Toc296891033"/>
      <w:bookmarkStart w:id="693" w:name="_Toc296891245"/>
      <w:bookmarkStart w:id="694" w:name="_Toc296944544"/>
      <w:bookmarkStart w:id="695" w:name="_Toc297048391"/>
      <w:bookmarkStart w:id="696" w:name="_Toc296346706"/>
      <w:bookmarkStart w:id="697" w:name="_Toc292559915"/>
      <w:bookmarkStart w:id="698" w:name="_Toc292559410"/>
      <w:bookmarkStart w:id="699" w:name="_Toc296347204"/>
      <w:bookmarkStart w:id="700" w:name="_Toc296503205"/>
      <w:bookmarkStart w:id="701" w:name="_Toc351203644"/>
      <w:bookmarkStart w:id="702" w:name="_Toc297216211"/>
      <w:bookmarkStart w:id="703" w:name="_Toc304295579"/>
      <w:bookmarkStart w:id="704" w:name="_Toc312678040"/>
      <w:bookmarkStart w:id="705" w:name="_Toc300935002"/>
      <w:bookmarkStart w:id="706" w:name="_Toc303539159"/>
      <w:bookmarkStart w:id="707" w:name="_Toc297123552"/>
      <w:r>
        <w:rPr>
          <w:rFonts w:hint="eastAsia" w:ascii="宋体" w:hAnsi="宋体" w:eastAsia="宋体" w:cs="宋体"/>
          <w:b/>
          <w:bCs/>
          <w:color w:val="000000"/>
          <w:sz w:val="21"/>
          <w:szCs w:val="21"/>
          <w:highlight w:val="none"/>
        </w:rPr>
        <w:t xml:space="preserve">12. </w:t>
      </w:r>
      <w:bookmarkEnd w:id="691"/>
      <w:bookmarkEnd w:id="692"/>
      <w:bookmarkEnd w:id="693"/>
      <w:bookmarkEnd w:id="694"/>
      <w:bookmarkEnd w:id="695"/>
      <w:bookmarkEnd w:id="696"/>
      <w:bookmarkEnd w:id="697"/>
      <w:bookmarkEnd w:id="698"/>
      <w:bookmarkEnd w:id="699"/>
      <w:bookmarkEnd w:id="700"/>
      <w:r>
        <w:rPr>
          <w:rFonts w:hint="eastAsia" w:ascii="宋体" w:hAnsi="宋体" w:eastAsia="宋体" w:cs="宋体"/>
          <w:b/>
          <w:bCs/>
          <w:color w:val="000000"/>
          <w:sz w:val="21"/>
          <w:szCs w:val="21"/>
          <w:highlight w:val="none"/>
        </w:rPr>
        <w:t>合同价格、计量与支付</w:t>
      </w:r>
      <w:bookmarkEnd w:id="701"/>
    </w:p>
    <w:bookmarkEnd w:id="702"/>
    <w:bookmarkEnd w:id="703"/>
    <w:bookmarkEnd w:id="704"/>
    <w:bookmarkEnd w:id="705"/>
    <w:bookmarkEnd w:id="706"/>
    <w:bookmarkEnd w:id="707"/>
    <w:p w14:paraId="399322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bookmarkStart w:id="708" w:name="_Toc292559411"/>
      <w:bookmarkStart w:id="709" w:name="_Toc292559916"/>
      <w:bookmarkStart w:id="710" w:name="_Toc267251461"/>
      <w:bookmarkStart w:id="711" w:name="_Toc296944545"/>
      <w:bookmarkStart w:id="712" w:name="_Toc296891034"/>
      <w:bookmarkStart w:id="713" w:name="_Toc296347205"/>
      <w:bookmarkStart w:id="714" w:name="_Toc296891246"/>
      <w:bookmarkStart w:id="715" w:name="_Toc296346707"/>
      <w:bookmarkStart w:id="716" w:name="_Toc296503206"/>
      <w:bookmarkStart w:id="717" w:name="_Toc297048392"/>
      <w:bookmarkStart w:id="718" w:name="_Toc297120506"/>
      <w:bookmarkStart w:id="719" w:name="_Toc312678041"/>
      <w:bookmarkStart w:id="720" w:name="_Toc297216212"/>
      <w:bookmarkStart w:id="721" w:name="_Toc304295580"/>
      <w:bookmarkStart w:id="722" w:name="_Toc297123553"/>
      <w:bookmarkStart w:id="723" w:name="_Toc303539160"/>
      <w:bookmarkStart w:id="724" w:name="_Toc300935003"/>
      <w:r>
        <w:rPr>
          <w:rFonts w:hint="eastAsia" w:ascii="宋体" w:hAnsi="宋体" w:eastAsia="宋体" w:cs="宋体"/>
          <w:b/>
          <w:bCs/>
          <w:color w:val="000000"/>
          <w:sz w:val="21"/>
          <w:szCs w:val="21"/>
          <w:highlight w:val="none"/>
        </w:rPr>
        <w:t>12.1</w:t>
      </w:r>
      <w:r>
        <w:rPr>
          <w:rFonts w:hint="eastAsia" w:ascii="宋体" w:hAnsi="宋体" w:eastAsia="宋体" w:cs="宋体"/>
          <w:color w:val="000000"/>
          <w:sz w:val="21"/>
          <w:szCs w:val="21"/>
          <w:highlight w:val="none"/>
        </w:rPr>
        <w:t xml:space="preserve"> 合</w:t>
      </w:r>
      <w:bookmarkEnd w:id="708"/>
      <w:bookmarkEnd w:id="709"/>
      <w:bookmarkEnd w:id="710"/>
      <w:r>
        <w:rPr>
          <w:rFonts w:hint="eastAsia" w:ascii="宋体" w:hAnsi="宋体" w:eastAsia="宋体" w:cs="宋体"/>
          <w:color w:val="000000"/>
          <w:sz w:val="21"/>
          <w:szCs w:val="21"/>
          <w:highlight w:val="none"/>
        </w:rPr>
        <w:t>同价</w:t>
      </w:r>
      <w:bookmarkEnd w:id="711"/>
      <w:bookmarkEnd w:id="712"/>
      <w:bookmarkEnd w:id="713"/>
      <w:bookmarkEnd w:id="714"/>
      <w:bookmarkEnd w:id="715"/>
      <w:bookmarkEnd w:id="716"/>
      <w:bookmarkEnd w:id="717"/>
      <w:bookmarkEnd w:id="718"/>
      <w:r>
        <w:rPr>
          <w:rFonts w:hint="eastAsia" w:ascii="宋体" w:hAnsi="宋体" w:eastAsia="宋体" w:cs="宋体"/>
          <w:color w:val="000000"/>
          <w:sz w:val="21"/>
          <w:szCs w:val="21"/>
          <w:highlight w:val="none"/>
        </w:rPr>
        <w:t>格形式</w:t>
      </w:r>
    </w:p>
    <w:bookmarkEnd w:id="719"/>
    <w:bookmarkEnd w:id="720"/>
    <w:bookmarkEnd w:id="721"/>
    <w:bookmarkEnd w:id="722"/>
    <w:bookmarkEnd w:id="723"/>
    <w:bookmarkEnd w:id="724"/>
    <w:p w14:paraId="33E33BB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w:t>
      </w:r>
    </w:p>
    <w:p w14:paraId="551930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综合单价包含的风险范围：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5FFF1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风险费用的计算方法：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9B02C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734FC1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w:t>
      </w:r>
    </w:p>
    <w:p w14:paraId="4B44E41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总价包含的风险范围：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C5EE0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风险费用的计算方法：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4418A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88044F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FAEC7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bookmarkStart w:id="725" w:name="_Toc297216213"/>
      <w:bookmarkStart w:id="726" w:name="_Toc300935004"/>
      <w:bookmarkStart w:id="727" w:name="_Toc304295581"/>
      <w:bookmarkStart w:id="728" w:name="_Toc303539161"/>
      <w:bookmarkStart w:id="729" w:name="_Toc297123554"/>
      <w:bookmarkStart w:id="730" w:name="_Toc312678042"/>
      <w:bookmarkStart w:id="731" w:name="_Toc296891247"/>
      <w:bookmarkStart w:id="732" w:name="_Toc296944546"/>
      <w:bookmarkStart w:id="733" w:name="_Toc292559917"/>
      <w:bookmarkStart w:id="734" w:name="_Toc296503207"/>
      <w:bookmarkStart w:id="735" w:name="_Toc296347206"/>
      <w:bookmarkStart w:id="736" w:name="_Toc296346708"/>
      <w:bookmarkStart w:id="737" w:name="_Toc297048393"/>
      <w:bookmarkStart w:id="738" w:name="_Toc297120507"/>
      <w:bookmarkStart w:id="739" w:name="_Toc296891035"/>
      <w:bookmarkStart w:id="740" w:name="_Toc292559412"/>
      <w:r>
        <w:rPr>
          <w:rFonts w:hint="eastAsia" w:ascii="宋体" w:hAnsi="宋体" w:eastAsia="宋体" w:cs="宋体"/>
          <w:b/>
          <w:bCs/>
          <w:color w:val="000000"/>
          <w:sz w:val="21"/>
          <w:szCs w:val="21"/>
          <w:highlight w:val="none"/>
        </w:rPr>
        <w:t>12.2</w:t>
      </w:r>
      <w:r>
        <w:rPr>
          <w:rFonts w:hint="eastAsia" w:ascii="宋体" w:hAnsi="宋体" w:eastAsia="宋体" w:cs="宋体"/>
          <w:color w:val="000000"/>
          <w:sz w:val="21"/>
          <w:szCs w:val="21"/>
          <w:highlight w:val="none"/>
        </w:rPr>
        <w:t xml:space="preserve"> 预付款</w:t>
      </w:r>
    </w:p>
    <w:bookmarkEnd w:id="725"/>
    <w:bookmarkEnd w:id="726"/>
    <w:bookmarkEnd w:id="727"/>
    <w:bookmarkEnd w:id="728"/>
    <w:bookmarkEnd w:id="729"/>
    <w:bookmarkEnd w:id="730"/>
    <w:p w14:paraId="75B7CDC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15CBBF9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0BB47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087E0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预付款扣回的方式：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45757D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084C6FB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5BF1A1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731"/>
    <w:bookmarkEnd w:id="732"/>
    <w:bookmarkEnd w:id="733"/>
    <w:bookmarkEnd w:id="734"/>
    <w:bookmarkEnd w:id="735"/>
    <w:bookmarkEnd w:id="736"/>
    <w:bookmarkEnd w:id="737"/>
    <w:bookmarkEnd w:id="738"/>
    <w:bookmarkEnd w:id="739"/>
    <w:bookmarkEnd w:id="740"/>
    <w:p w14:paraId="6F291D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12.3 </w:t>
      </w:r>
      <w:r>
        <w:rPr>
          <w:rFonts w:hint="eastAsia" w:ascii="宋体" w:hAnsi="宋体" w:eastAsia="宋体" w:cs="宋体"/>
          <w:color w:val="000000"/>
          <w:sz w:val="21"/>
          <w:szCs w:val="21"/>
          <w:highlight w:val="none"/>
        </w:rPr>
        <w:t>计量</w:t>
      </w:r>
    </w:p>
    <w:p w14:paraId="36ECDFD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12.3.1 计量原则</w:t>
      </w:r>
    </w:p>
    <w:p w14:paraId="6707290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工程量计算规则：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0DB25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12.3.2 计量周期</w:t>
      </w:r>
    </w:p>
    <w:p w14:paraId="57822A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关于计量周期的约定：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50A484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12.3.3 单价合同的计量</w:t>
      </w:r>
    </w:p>
    <w:p w14:paraId="53DCA2B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关于单价合同计量的约定：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451FED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12.3.4 总价合同的计量</w:t>
      </w:r>
    </w:p>
    <w:p w14:paraId="5C85E5B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关于总价合同计量的约定：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0CFD9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12.3.5总价合同采用支付分解表计量支付的，是否适用第</w:t>
      </w:r>
      <w:r>
        <w:rPr>
          <w:rFonts w:hint="eastAsia" w:ascii="宋体" w:hAnsi="宋体" w:eastAsia="宋体" w:cs="宋体"/>
          <w:color w:val="000000"/>
          <w:kern w:val="0"/>
          <w:sz w:val="21"/>
          <w:szCs w:val="21"/>
          <w:highlight w:val="none"/>
        </w:rPr>
        <w:t xml:space="preserve">12.3.4 </w:t>
      </w:r>
      <w:r>
        <w:rPr>
          <w:rFonts w:hint="eastAsia" w:ascii="宋体" w:hAnsi="宋体" w:eastAsia="宋体" w:cs="宋体"/>
          <w:color w:val="000000"/>
          <w:sz w:val="21"/>
          <w:szCs w:val="21"/>
          <w:highlight w:val="none"/>
        </w:rPr>
        <w:t>项</w:t>
      </w:r>
      <w:r>
        <w:rPr>
          <w:rFonts w:hint="eastAsia" w:ascii="宋体" w:hAnsi="宋体" w:eastAsia="宋体" w:cs="宋体"/>
          <w:color w:val="000000"/>
          <w:kern w:val="0"/>
          <w:sz w:val="21"/>
          <w:szCs w:val="21"/>
          <w:highlight w:val="none"/>
        </w:rPr>
        <w:t>〔总价合同的计量〕</w:t>
      </w:r>
      <w:r>
        <w:rPr>
          <w:rFonts w:hint="eastAsia" w:ascii="宋体" w:hAnsi="宋体" w:eastAsia="宋体" w:cs="宋体"/>
          <w:color w:val="000000"/>
          <w:sz w:val="21"/>
          <w:szCs w:val="21"/>
          <w:highlight w:val="none"/>
        </w:rPr>
        <w:t>约定进行计量：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1235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12.3.6 其他价格形式合同的计量</w:t>
      </w:r>
    </w:p>
    <w:p w14:paraId="27FFB68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其他价格形式的计量方式和程序：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E7A1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12.4</w:t>
      </w:r>
      <w:r>
        <w:rPr>
          <w:rFonts w:hint="eastAsia" w:ascii="宋体" w:hAnsi="宋体" w:eastAsia="宋体" w:cs="宋体"/>
          <w:color w:val="000000"/>
          <w:sz w:val="21"/>
          <w:szCs w:val="21"/>
          <w:highlight w:val="none"/>
        </w:rPr>
        <w:t xml:space="preserve"> 工程进度款支付</w:t>
      </w:r>
    </w:p>
    <w:p w14:paraId="26D24C6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bookmarkStart w:id="741" w:name="_Toc292559921"/>
      <w:bookmarkStart w:id="742" w:name="_Toc296347210"/>
      <w:bookmarkStart w:id="743" w:name="_Toc300935006"/>
      <w:bookmarkStart w:id="744" w:name="_Toc296891251"/>
      <w:bookmarkStart w:id="745" w:name="_Toc297120511"/>
      <w:bookmarkStart w:id="746" w:name="_Toc296891039"/>
      <w:bookmarkStart w:id="747" w:name="_Toc297123556"/>
      <w:bookmarkStart w:id="748" w:name="_Toc297048397"/>
      <w:bookmarkStart w:id="749" w:name="_Toc292559416"/>
      <w:bookmarkStart w:id="750" w:name="_Toc296944550"/>
      <w:bookmarkStart w:id="751" w:name="_Toc303539163"/>
      <w:bookmarkStart w:id="752" w:name="_Toc296346712"/>
      <w:bookmarkStart w:id="753" w:name="_Toc297216215"/>
      <w:bookmarkStart w:id="754" w:name="_Toc296503211"/>
      <w:r>
        <w:rPr>
          <w:rFonts w:hint="eastAsia" w:ascii="宋体" w:hAnsi="宋体" w:eastAsia="宋体" w:cs="宋体"/>
          <w:color w:val="000000"/>
          <w:sz w:val="21"/>
          <w:szCs w:val="21"/>
          <w:highlight w:val="none"/>
        </w:rPr>
        <w:t>12.4.1 付款周期</w:t>
      </w:r>
    </w:p>
    <w:p w14:paraId="5FE451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关于付款周期的约定：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3F96B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12.4.2 进度付款申请单的编制</w:t>
      </w:r>
    </w:p>
    <w:p w14:paraId="01F9F0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关于进度付款申请单编制的约定：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4F61A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Fonts w:hint="eastAsia" w:ascii="宋体" w:hAnsi="宋体" w:eastAsia="宋体" w:cs="宋体"/>
          <w:color w:val="000000"/>
          <w:sz w:val="21"/>
          <w:szCs w:val="21"/>
          <w:highlight w:val="none"/>
        </w:rPr>
        <w:t>2.4.3 进度付款申请单的提交</w:t>
      </w:r>
    </w:p>
    <w:p w14:paraId="59447F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（1）单价合同进度付款申请单提交的约定：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EA045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（2）总价合同进度付款申请单提交的约定：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8BDEE2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（3）其他价格形式合同进度付款申请单提交的约定：</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0F78FF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12.4.4 进度款审核和支付</w:t>
      </w:r>
    </w:p>
    <w:p w14:paraId="0781996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（1）监理人审查并报送发包人的期限：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F43320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发包人完成审批并签发进度款支付证书的期限：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5B4CE8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（2）发包人支付进度款的期限：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F6CB1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发包人逾期支付进度款的违约金的计算方式：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F71C7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12.4.6 支付分解表的编制</w:t>
      </w:r>
    </w:p>
    <w:p w14:paraId="22F4CCF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2、总价合同支付分解表的编制与审批：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E23075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3、单价合同的总价项目支付分解表的编制与审批：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584"/>
    <w:p w14:paraId="3E1E05AE">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755" w:name="_Toc351203645"/>
      <w:bookmarkStart w:id="756" w:name="_Toc297048405"/>
      <w:bookmarkStart w:id="757" w:name="_Toc300935015"/>
      <w:bookmarkStart w:id="758" w:name="_Toc296347218"/>
      <w:bookmarkStart w:id="759" w:name="_Toc297216223"/>
      <w:bookmarkStart w:id="760" w:name="_Toc292559929"/>
      <w:bookmarkStart w:id="761" w:name="_Toc303539172"/>
      <w:bookmarkStart w:id="762" w:name="_Toc296944558"/>
      <w:bookmarkStart w:id="763" w:name="_Toc297123564"/>
      <w:bookmarkStart w:id="764" w:name="_Toc292559424"/>
      <w:bookmarkStart w:id="765" w:name="_Toc312678053"/>
      <w:bookmarkStart w:id="766" w:name="_Toc296891047"/>
      <w:bookmarkStart w:id="767" w:name="_Toc296503219"/>
      <w:bookmarkStart w:id="768" w:name="_Toc297120519"/>
      <w:bookmarkStart w:id="769" w:name="_Toc296891259"/>
      <w:bookmarkStart w:id="770" w:name="_Toc296346720"/>
      <w:bookmarkStart w:id="771" w:name="_Toc304295593"/>
      <w:r>
        <w:rPr>
          <w:rFonts w:hint="eastAsia" w:ascii="宋体" w:hAnsi="宋体" w:eastAsia="宋体" w:cs="宋体"/>
          <w:b/>
          <w:bCs/>
          <w:color w:val="000000"/>
          <w:sz w:val="21"/>
          <w:szCs w:val="21"/>
          <w:highlight w:val="none"/>
        </w:rPr>
        <w:t>13. 验收和工程试车</w:t>
      </w:r>
      <w:bookmarkEnd w:id="755"/>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5185D8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13.1 </w:t>
      </w:r>
      <w:r>
        <w:rPr>
          <w:rFonts w:hint="eastAsia" w:ascii="宋体" w:hAnsi="宋体" w:eastAsia="宋体" w:cs="宋体"/>
          <w:color w:val="000000"/>
          <w:sz w:val="21"/>
          <w:szCs w:val="21"/>
          <w:highlight w:val="none"/>
        </w:rPr>
        <w:t>分部分项工程验收</w:t>
      </w:r>
    </w:p>
    <w:p w14:paraId="447C30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13.1.2监理人不能按时进行验收时，应提前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小时提交书面延期要求。</w:t>
      </w:r>
    </w:p>
    <w:p w14:paraId="7E8C79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w:t>
      </w:r>
    </w:p>
    <w:p w14:paraId="635862E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bookmarkStart w:id="772" w:name="_Toc296891051"/>
      <w:bookmarkStart w:id="773" w:name="_Toc296503223"/>
      <w:bookmarkStart w:id="774" w:name="_Toc304295596"/>
      <w:bookmarkStart w:id="775" w:name="_Toc312678056"/>
      <w:bookmarkStart w:id="776" w:name="_Toc297120523"/>
      <w:bookmarkStart w:id="777" w:name="_Toc296891263"/>
      <w:bookmarkStart w:id="778" w:name="_Toc297048409"/>
      <w:bookmarkStart w:id="779" w:name="_Toc297123565"/>
      <w:bookmarkStart w:id="780" w:name="_Toc297216224"/>
      <w:bookmarkStart w:id="781" w:name="_Toc296347222"/>
      <w:bookmarkStart w:id="782" w:name="_Toc292559933"/>
      <w:bookmarkStart w:id="783" w:name="_Toc296346724"/>
      <w:bookmarkStart w:id="784" w:name="_Toc300935016"/>
      <w:bookmarkStart w:id="785" w:name="_Toc292559428"/>
      <w:bookmarkStart w:id="786" w:name="_Toc303539173"/>
      <w:bookmarkStart w:id="787" w:name="_Toc296944562"/>
      <w:bookmarkStart w:id="788" w:name="_Toc267251474"/>
      <w:bookmarkStart w:id="789" w:name="_Toc267251471"/>
      <w:bookmarkStart w:id="790" w:name="_Toc267251476"/>
      <w:bookmarkStart w:id="791" w:name="_Toc267251470"/>
      <w:bookmarkStart w:id="792" w:name="_Toc267251473"/>
      <w:bookmarkStart w:id="793" w:name="_Toc267251472"/>
      <w:bookmarkStart w:id="794" w:name="_Toc267251475"/>
      <w:r>
        <w:rPr>
          <w:rFonts w:hint="eastAsia" w:ascii="宋体" w:hAnsi="宋体" w:eastAsia="宋体" w:cs="宋体"/>
          <w:b/>
          <w:bCs/>
          <w:color w:val="000000"/>
          <w:sz w:val="21"/>
          <w:szCs w:val="21"/>
          <w:highlight w:val="none"/>
        </w:rPr>
        <w:t>13.2</w:t>
      </w:r>
      <w:r>
        <w:rPr>
          <w:rFonts w:hint="eastAsia" w:ascii="宋体" w:hAnsi="宋体" w:eastAsia="宋体" w:cs="宋体"/>
          <w:color w:val="000000"/>
          <w:sz w:val="21"/>
          <w:szCs w:val="21"/>
          <w:highlight w:val="none"/>
        </w:rPr>
        <w:t xml:space="preserve"> 竣工验收</w:t>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2F96637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bookmarkStart w:id="795" w:name="_Toc280868704"/>
      <w:bookmarkStart w:id="796" w:name="_Toc280868705"/>
      <w:bookmarkStart w:id="797" w:name="_Toc280868706"/>
      <w:bookmarkStart w:id="798" w:name="_Toc280868707"/>
      <w:bookmarkStart w:id="799" w:name="_Toc280868708"/>
      <w:bookmarkStart w:id="800" w:name="_Toc280868709"/>
      <w:r>
        <w:rPr>
          <w:rFonts w:hint="eastAsia" w:ascii="宋体" w:hAnsi="宋体" w:eastAsia="宋体" w:cs="宋体"/>
          <w:color w:val="000000"/>
          <w:sz w:val="21"/>
          <w:szCs w:val="21"/>
          <w:highlight w:val="none"/>
        </w:rPr>
        <w:t>13.2.2竣工验收程序</w:t>
      </w:r>
    </w:p>
    <w:bookmarkEnd w:id="795"/>
    <w:p w14:paraId="34BBBC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关于竣工验收程序的约定：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1761F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发包人不按照本项约定组织竣工验收、颁发工程接收证书的违约金的计算方法：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796"/>
    <w:p w14:paraId="6BF9D9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13.2.5移交、接收全部与部分工程</w:t>
      </w:r>
    </w:p>
    <w:bookmarkEnd w:id="797"/>
    <w:p w14:paraId="479E9CD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承包人向发包人移交工程的期限：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24915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发包人未按本合同约定接收全部或部分工程的，违约金的计算方法为：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798"/>
    <w:p w14:paraId="768B1F7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承包人未按时移交工程的，违约金的计算方法为：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BCFEC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13.3</w:t>
      </w:r>
      <w:r>
        <w:rPr>
          <w:rFonts w:hint="eastAsia" w:ascii="宋体" w:hAnsi="宋体" w:eastAsia="宋体" w:cs="宋体"/>
          <w:color w:val="000000"/>
          <w:sz w:val="21"/>
          <w:szCs w:val="21"/>
          <w:highlight w:val="none"/>
        </w:rPr>
        <w:t xml:space="preserve"> 工程试车</w:t>
      </w:r>
    </w:p>
    <w:bookmarkEnd w:id="799"/>
    <w:p w14:paraId="3439E1C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13.3.1 试车程序</w:t>
      </w:r>
    </w:p>
    <w:p w14:paraId="5DD119B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工程试车内容：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685C8E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（1）单机无负荷试车费用由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承担；</w:t>
      </w:r>
    </w:p>
    <w:p w14:paraId="60EDC94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（2）无负荷联动试车费用由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承担。</w:t>
      </w:r>
    </w:p>
    <w:p w14:paraId="6D79D8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13.3.3 投料试车</w:t>
      </w:r>
    </w:p>
    <w:p w14:paraId="25FF7DB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关于投料试车相关事项的约定：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626BF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13.6</w:t>
      </w:r>
      <w:r>
        <w:rPr>
          <w:rFonts w:hint="eastAsia" w:ascii="宋体" w:hAnsi="宋体" w:eastAsia="宋体" w:cs="宋体"/>
          <w:color w:val="000000"/>
          <w:sz w:val="21"/>
          <w:szCs w:val="21"/>
          <w:highlight w:val="none"/>
        </w:rPr>
        <w:t xml:space="preserve"> 竣工退场</w:t>
      </w:r>
    </w:p>
    <w:p w14:paraId="08E527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13.6.1 竣工退场</w:t>
      </w:r>
    </w:p>
    <w:p w14:paraId="5A7100F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承包人完成竣工退场的期限：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6A5901A1">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801" w:name="_Toc351203646"/>
      <w:r>
        <w:rPr>
          <w:rFonts w:hint="eastAsia" w:ascii="宋体" w:hAnsi="宋体" w:eastAsia="宋体" w:cs="宋体"/>
          <w:b/>
          <w:bCs/>
          <w:color w:val="000000"/>
          <w:sz w:val="21"/>
          <w:szCs w:val="21"/>
          <w:highlight w:val="none"/>
        </w:rPr>
        <w:t>14. 竣工结算</w:t>
      </w:r>
      <w:bookmarkEnd w:id="801"/>
    </w:p>
    <w:p w14:paraId="02F26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14.1 </w:t>
      </w:r>
      <w:r>
        <w:rPr>
          <w:rFonts w:hint="eastAsia" w:ascii="宋体" w:hAnsi="宋体" w:eastAsia="宋体" w:cs="宋体"/>
          <w:color w:val="000000"/>
          <w:sz w:val="21"/>
          <w:szCs w:val="21"/>
          <w:highlight w:val="none"/>
        </w:rPr>
        <w:t>竣工结算申请</w:t>
      </w:r>
    </w:p>
    <w:p w14:paraId="66F6C5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承包人提交竣工结算申请单的期限：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8053A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竣工结算申请单应包括的内容：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8FC2A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14.2 </w:t>
      </w:r>
      <w:r>
        <w:rPr>
          <w:rFonts w:hint="eastAsia" w:ascii="宋体" w:hAnsi="宋体" w:eastAsia="宋体" w:cs="宋体"/>
          <w:color w:val="000000"/>
          <w:sz w:val="21"/>
          <w:szCs w:val="21"/>
          <w:highlight w:val="none"/>
        </w:rPr>
        <w:t>竣工结算审核</w:t>
      </w:r>
    </w:p>
    <w:p w14:paraId="2F8B10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发包人审批竣工付款申请单的期限：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4801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发包人完成竣工付款的期限：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822AB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关于竣工付款证书异议部分复核的方式和程序：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7841C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14.4 </w:t>
      </w:r>
      <w:r>
        <w:rPr>
          <w:rFonts w:hint="eastAsia" w:ascii="宋体" w:hAnsi="宋体" w:eastAsia="宋体" w:cs="宋体"/>
          <w:color w:val="000000"/>
          <w:sz w:val="21"/>
          <w:szCs w:val="21"/>
          <w:highlight w:val="none"/>
        </w:rPr>
        <w:t>最终结清</w:t>
      </w:r>
    </w:p>
    <w:p w14:paraId="64AF11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14.4.1 最终结清申请单</w:t>
      </w:r>
    </w:p>
    <w:p w14:paraId="3C42BA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承包人提交最终结清申请单的份数：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143CB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承包人提交最终结算申请单的期限：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2C4461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14.4.2 最终结清证书和支付</w:t>
      </w:r>
    </w:p>
    <w:p w14:paraId="0C8154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（1）发包人完成最终结清申请单的审批并颁发最终结清证书的期限：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34EF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（2）发包人完成支付的期限：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788"/>
    <w:bookmarkEnd w:id="789"/>
    <w:bookmarkEnd w:id="790"/>
    <w:bookmarkEnd w:id="791"/>
    <w:bookmarkEnd w:id="792"/>
    <w:bookmarkEnd w:id="793"/>
    <w:bookmarkEnd w:id="794"/>
    <w:bookmarkEnd w:id="800"/>
    <w:p w14:paraId="32296DDE">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802" w:name="_Toc351203647"/>
      <w:bookmarkStart w:id="803" w:name="_Toc267251483"/>
      <w:bookmarkStart w:id="804" w:name="_Toc267251482"/>
      <w:bookmarkStart w:id="805" w:name="_Toc267251484"/>
      <w:bookmarkStart w:id="806" w:name="_Toc267251485"/>
      <w:bookmarkStart w:id="807" w:name="_Toc267251489"/>
      <w:bookmarkStart w:id="808" w:name="_Toc267251488"/>
      <w:bookmarkStart w:id="809" w:name="_Toc267251490"/>
      <w:bookmarkStart w:id="810" w:name="_Toc267251486"/>
      <w:bookmarkStart w:id="811" w:name="_Toc267251497"/>
      <w:bookmarkStart w:id="812" w:name="_Toc267251501"/>
      <w:bookmarkStart w:id="813" w:name="_Toc267251496"/>
      <w:bookmarkStart w:id="814" w:name="_Toc267251495"/>
      <w:bookmarkStart w:id="815" w:name="_Toc267251498"/>
      <w:bookmarkStart w:id="816" w:name="_Toc267251492"/>
      <w:bookmarkStart w:id="817" w:name="_Toc267251503"/>
      <w:bookmarkStart w:id="818" w:name="_Toc267251494"/>
      <w:bookmarkStart w:id="819" w:name="_Toc267251499"/>
      <w:bookmarkStart w:id="820" w:name="_Toc267251502"/>
      <w:bookmarkStart w:id="821" w:name="_Toc267251493"/>
      <w:bookmarkStart w:id="822" w:name="_Toc267251491"/>
      <w:bookmarkStart w:id="823" w:name="_Toc267251506"/>
      <w:bookmarkStart w:id="824" w:name="_Toc267251504"/>
      <w:bookmarkStart w:id="825" w:name="_Toc267251507"/>
      <w:bookmarkStart w:id="826" w:name="_Toc267251508"/>
      <w:bookmarkStart w:id="827" w:name="_Toc267251509"/>
      <w:bookmarkStart w:id="828" w:name="_Toc267251510"/>
      <w:bookmarkStart w:id="829" w:name="_Toc267251513"/>
      <w:bookmarkStart w:id="830" w:name="_Toc267251511"/>
      <w:bookmarkStart w:id="831" w:name="_Toc267251514"/>
      <w:bookmarkStart w:id="832" w:name="_Toc267251515"/>
      <w:r>
        <w:rPr>
          <w:rFonts w:hint="eastAsia" w:ascii="宋体" w:hAnsi="宋体" w:eastAsia="宋体" w:cs="宋体"/>
          <w:b/>
          <w:bCs/>
          <w:color w:val="000000"/>
          <w:sz w:val="21"/>
          <w:szCs w:val="21"/>
          <w:highlight w:val="none"/>
        </w:rPr>
        <w:t>15. 缺陷责任期与保修</w:t>
      </w:r>
      <w:bookmarkEnd w:id="802"/>
    </w:p>
    <w:p w14:paraId="6A43F75F">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15.2</w:t>
      </w:r>
      <w:r>
        <w:rPr>
          <w:rFonts w:hint="eastAsia" w:ascii="宋体" w:hAnsi="宋体" w:eastAsia="宋体" w:cs="宋体"/>
          <w:color w:val="000000"/>
          <w:sz w:val="21"/>
          <w:szCs w:val="21"/>
          <w:highlight w:val="none"/>
        </w:rPr>
        <w:t>缺陷责任期</w:t>
      </w:r>
      <w:bookmarkEnd w:id="803"/>
    </w:p>
    <w:p w14:paraId="04040C9A">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缺陷责任期的具体期限：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986D5BA">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15.3 </w:t>
      </w:r>
      <w:r>
        <w:rPr>
          <w:rFonts w:hint="eastAsia" w:ascii="宋体" w:hAnsi="宋体" w:eastAsia="宋体" w:cs="宋体"/>
          <w:color w:val="000000"/>
          <w:sz w:val="21"/>
          <w:szCs w:val="21"/>
          <w:highlight w:val="none"/>
        </w:rPr>
        <w:t>质量保证金</w:t>
      </w:r>
    </w:p>
    <w:p w14:paraId="51316A90">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关于是否扣留质量保证金的约定：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。在工程项目竣工前，承包人按专用合同条款第3.7条提供履约担保的，发包人不得同时预留工程质量保证金。</w:t>
      </w:r>
    </w:p>
    <w:p w14:paraId="140347E2">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p>
    <w:p w14:paraId="1308952A">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15.3.1 承包人提供质量保证金的方式</w:t>
      </w:r>
    </w:p>
    <w:p w14:paraId="1EFE9F6B">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54F6613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（1）质量保证金保函，保证金额为：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 xml:space="preserve">； </w:t>
      </w:r>
    </w:p>
    <w:p w14:paraId="0782D2D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%的工程款；</w:t>
      </w:r>
    </w:p>
    <w:p w14:paraId="001758A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（3）其他方式:</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00BDD408">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15.3.2 质量保证金的扣留 </w:t>
      </w:r>
    </w:p>
    <w:p w14:paraId="4DDCA3B9">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质量保证金的扣留采取以下第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6DECCD1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（1）在支付工程进度款时逐次扣留，在此情形下，质量保证金的计算基数不包括预付款的支付、扣回以及价格调整的金额；</w:t>
      </w:r>
    </w:p>
    <w:p w14:paraId="0A0BCE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（2）工程竣工结算时一次性扣留质量保证金；</w:t>
      </w:r>
    </w:p>
    <w:p w14:paraId="4D50FA1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（3）其他扣留方式:</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2066C99A">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关于质量保证金的补充约定：</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bookmarkEnd w:id="804"/>
    <w:bookmarkEnd w:id="805"/>
    <w:p w14:paraId="7C1DE412">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15.4</w:t>
      </w:r>
      <w:r>
        <w:rPr>
          <w:rFonts w:hint="eastAsia" w:ascii="宋体" w:hAnsi="宋体" w:eastAsia="宋体" w:cs="宋体"/>
          <w:color w:val="000000"/>
          <w:sz w:val="21"/>
          <w:szCs w:val="21"/>
          <w:highlight w:val="none"/>
        </w:rPr>
        <w:t>保修</w:t>
      </w:r>
    </w:p>
    <w:bookmarkEnd w:id="806"/>
    <w:p w14:paraId="3D147883">
      <w:pPr>
        <w:keepNext w:val="0"/>
        <w:keepLines w:val="0"/>
        <w:pageBreakBefore w:val="0"/>
        <w:widowControl w:val="0"/>
        <w:kinsoku/>
        <w:wordWrap/>
        <w:overflowPunct/>
        <w:topLinePunct w:val="0"/>
        <w:bidi w:val="0"/>
        <w:snapToGrid/>
        <w:spacing w:line="360" w:lineRule="auto"/>
        <w:ind w:firstLine="409" w:firstLineChars="195"/>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15.4.1 保修责任</w:t>
      </w:r>
    </w:p>
    <w:p w14:paraId="696FC9CF">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工程保修期为：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2F6C3615">
      <w:pPr>
        <w:keepNext w:val="0"/>
        <w:keepLines w:val="0"/>
        <w:pageBreakBefore w:val="0"/>
        <w:widowControl w:val="0"/>
        <w:kinsoku/>
        <w:wordWrap/>
        <w:overflowPunct/>
        <w:topLinePunct w:val="0"/>
        <w:bidi w:val="0"/>
        <w:snapToGrid/>
        <w:spacing w:line="360" w:lineRule="auto"/>
        <w:ind w:firstLine="409" w:firstLineChars="195"/>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15.4.3 修复通知</w:t>
      </w:r>
    </w:p>
    <w:p w14:paraId="630D78A0">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承包人收到保修通知并到达工程现场的合理时间：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bookmarkEnd w:id="807"/>
    <w:bookmarkEnd w:id="808"/>
    <w:bookmarkEnd w:id="809"/>
    <w:bookmarkEnd w:id="810"/>
    <w:p w14:paraId="4931F685">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833" w:name="_Toc351203648"/>
      <w:bookmarkStart w:id="834" w:name="_Toc280868717"/>
      <w:bookmarkStart w:id="835" w:name="_Toc280868718"/>
      <w:r>
        <w:rPr>
          <w:rFonts w:hint="eastAsia" w:ascii="宋体" w:hAnsi="宋体" w:eastAsia="宋体" w:cs="宋体"/>
          <w:b/>
          <w:bCs/>
          <w:color w:val="000000"/>
          <w:sz w:val="21"/>
          <w:szCs w:val="21"/>
          <w:highlight w:val="none"/>
        </w:rPr>
        <w:t>16. 违约</w:t>
      </w:r>
      <w:bookmarkEnd w:id="833"/>
    </w:p>
    <w:p w14:paraId="134F23AD">
      <w:pPr>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16.1 </w:t>
      </w:r>
      <w:r>
        <w:rPr>
          <w:rFonts w:hint="eastAsia" w:ascii="宋体" w:hAnsi="宋体" w:eastAsia="宋体" w:cs="宋体"/>
          <w:color w:val="000000"/>
          <w:sz w:val="21"/>
          <w:szCs w:val="21"/>
          <w:highlight w:val="none"/>
        </w:rPr>
        <w:t>发包人违约</w:t>
      </w:r>
    </w:p>
    <w:p w14:paraId="1C900FFE">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16.1.1发包人违约的情形</w:t>
      </w:r>
    </w:p>
    <w:p w14:paraId="08245D1F">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发包人违约的其他情形：</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4B550497">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16.1.2 发包人违约的责任</w:t>
      </w:r>
    </w:p>
    <w:p w14:paraId="6F28861B">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发包人违约责任的承担方式和计算方法：</w:t>
      </w:r>
    </w:p>
    <w:p w14:paraId="645690D3">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（1）因发包人原因未能在计划开工日期前7天内下达开工通知的违约责任：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46E79D9">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（2）因发包人原因未能按合同约定支付合同价款的违约责任：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22F4A1A">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A03F876">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4A4EF5D4">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（5）因发包人违反合同约定造成暂停施工的违约责任：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7DE6B844">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（6）发包人无正当理由没有在约定期限内发出复工指示，导致承包人无法复工的违约责任：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6A9CF041">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（7）其他：</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6C46914">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16.1.3 因发包人违约解除合同</w:t>
      </w:r>
    </w:p>
    <w:p w14:paraId="53CA7D73">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承包人按16.1.1项〔发包人违约的情形〕约定暂停施工满</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天后发包人仍不纠正其违约行为并致使合同目的不能实现的，承包人有权解除合同。</w:t>
      </w:r>
    </w:p>
    <w:p w14:paraId="640CE0C6">
      <w:pPr>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16.2</w:t>
      </w:r>
      <w:r>
        <w:rPr>
          <w:rFonts w:hint="eastAsia" w:ascii="宋体" w:hAnsi="宋体" w:eastAsia="宋体" w:cs="宋体"/>
          <w:color w:val="000000"/>
          <w:sz w:val="21"/>
          <w:szCs w:val="21"/>
          <w:highlight w:val="none"/>
        </w:rPr>
        <w:t xml:space="preserve"> 承包人违约</w:t>
      </w:r>
    </w:p>
    <w:p w14:paraId="7D01003B">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16.2.1 承包人违约的情形</w:t>
      </w:r>
    </w:p>
    <w:p w14:paraId="23F72493">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承包人违约的其他情形：</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22CB152">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16.2.2承包人违约的责任</w:t>
      </w:r>
    </w:p>
    <w:p w14:paraId="6DE4709D">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承包人违约责任的承担方式和计算方法：</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 xml:space="preserve">    </w:t>
      </w:r>
    </w:p>
    <w:p w14:paraId="6706BFCF">
      <w:pPr>
        <w:keepNext w:val="0"/>
        <w:keepLines w:val="0"/>
        <w:pageBreakBefore w:val="0"/>
        <w:widowControl w:val="0"/>
        <w:kinsoku/>
        <w:wordWrap/>
        <w:overflowPunct/>
        <w:topLinePunct w:val="0"/>
        <w:bidi w:val="0"/>
        <w:snapToGrid/>
        <w:spacing w:line="360" w:lineRule="auto"/>
        <w:ind w:left="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16.2.3 因承包人违约解除合同</w:t>
      </w:r>
    </w:p>
    <w:p w14:paraId="00C6B94F">
      <w:pPr>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关于承包人违约解除合同的特别约定：</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DFDFAA2">
      <w:pPr>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A16046D">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836" w:name="_Toc351203649"/>
      <w:r>
        <w:rPr>
          <w:rFonts w:hint="eastAsia" w:ascii="宋体" w:hAnsi="宋体" w:eastAsia="宋体" w:cs="宋体"/>
          <w:b/>
          <w:bCs/>
          <w:color w:val="000000"/>
          <w:sz w:val="21"/>
          <w:szCs w:val="21"/>
          <w:highlight w:val="none"/>
        </w:rPr>
        <w:t>17. 不可抗力</w:t>
      </w:r>
      <w:bookmarkEnd w:id="836"/>
      <w:r>
        <w:rPr>
          <w:rFonts w:hint="eastAsia" w:ascii="宋体" w:hAnsi="宋体" w:eastAsia="宋体" w:cs="宋体"/>
          <w:b/>
          <w:bCs/>
          <w:color w:val="000000"/>
          <w:sz w:val="21"/>
          <w:szCs w:val="21"/>
          <w:highlight w:val="none"/>
        </w:rPr>
        <w:t xml:space="preserve"> </w:t>
      </w:r>
      <w:bookmarkEnd w:id="834"/>
    </w:p>
    <w:p w14:paraId="493EC72C">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17.1</w:t>
      </w:r>
      <w:r>
        <w:rPr>
          <w:rFonts w:hint="eastAsia" w:ascii="宋体" w:hAnsi="宋体" w:eastAsia="宋体" w:cs="宋体"/>
          <w:color w:val="000000"/>
          <w:sz w:val="21"/>
          <w:szCs w:val="21"/>
          <w:highlight w:val="none"/>
        </w:rPr>
        <w:t xml:space="preserve"> 不可抗力的确认</w:t>
      </w:r>
    </w:p>
    <w:p w14:paraId="62A0EB55">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rPr>
        <w:t xml:space="preserve">除通用合同条款约定的不可抗力事件之外，视为不可抗力的其他情形：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C20B433">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17.4</w:t>
      </w:r>
      <w:r>
        <w:rPr>
          <w:rFonts w:hint="eastAsia" w:ascii="宋体" w:hAnsi="宋体" w:eastAsia="宋体" w:cs="宋体"/>
          <w:color w:val="000000"/>
          <w:sz w:val="21"/>
          <w:szCs w:val="21"/>
          <w:highlight w:val="none"/>
        </w:rPr>
        <w:t xml:space="preserve"> 因不可抗力解除合同</w:t>
      </w:r>
    </w:p>
    <w:p w14:paraId="55836683">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合同解除后，发包人应在商定或确定发包人应支付款项后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天内完成款项的支付。</w:t>
      </w:r>
    </w:p>
    <w:p w14:paraId="651F8BF5">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837" w:name="_Toc351203650"/>
      <w:r>
        <w:rPr>
          <w:rFonts w:hint="eastAsia" w:ascii="宋体" w:hAnsi="宋体" w:eastAsia="宋体" w:cs="宋体"/>
          <w:b/>
          <w:bCs/>
          <w:color w:val="000000"/>
          <w:sz w:val="21"/>
          <w:szCs w:val="21"/>
          <w:highlight w:val="none"/>
        </w:rPr>
        <w:t>18. 保险</w:t>
      </w:r>
      <w:bookmarkEnd w:id="837"/>
    </w:p>
    <w:bookmarkEnd w:id="835"/>
    <w:p w14:paraId="5389D01E">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18.1 工程保险</w:t>
      </w:r>
    </w:p>
    <w:p w14:paraId="12338BD8">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关于工程保险的特别约定：</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68CF02C4">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18.3 其他保险</w:t>
      </w:r>
    </w:p>
    <w:p w14:paraId="3551B59D">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关于其他保险的约定：</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6FF4D94">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承包人是否应为其施工设备等办理财产保险：</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05FA48">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18.7 通知义务</w:t>
      </w:r>
    </w:p>
    <w:p w14:paraId="69A8146D">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关于变更保险合同时的通知义务的约定：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811"/>
    <w:bookmarkEnd w:id="812"/>
    <w:bookmarkEnd w:id="813"/>
    <w:bookmarkEnd w:id="814"/>
    <w:bookmarkEnd w:id="815"/>
    <w:bookmarkEnd w:id="816"/>
    <w:bookmarkEnd w:id="817"/>
    <w:bookmarkEnd w:id="818"/>
    <w:bookmarkEnd w:id="819"/>
    <w:bookmarkEnd w:id="820"/>
    <w:bookmarkEnd w:id="821"/>
    <w:bookmarkEnd w:id="822"/>
    <w:p w14:paraId="7B1B66C5">
      <w:pPr>
        <w:pageBreakBefore w:val="0"/>
        <w:widowControl w:val="0"/>
        <w:kinsoku/>
        <w:wordWrap/>
        <w:overflowPunct/>
        <w:topLinePunct w:val="0"/>
        <w:bidi w:val="0"/>
        <w:snapToGrid/>
        <w:spacing w:line="440" w:lineRule="exact"/>
        <w:ind w:left="0" w:leftChars="0" w:right="0" w:rightChars="0"/>
        <w:textAlignment w:val="auto"/>
        <w:outlineLvl w:val="9"/>
        <w:rPr>
          <w:rFonts w:hint="eastAsia" w:ascii="宋体" w:hAnsi="宋体" w:eastAsia="宋体" w:cs="宋体"/>
          <w:b/>
          <w:bCs/>
          <w:color w:val="000000"/>
          <w:sz w:val="21"/>
          <w:szCs w:val="21"/>
          <w:highlight w:val="none"/>
        </w:rPr>
      </w:pPr>
      <w:bookmarkStart w:id="838" w:name="_Toc351203651"/>
      <w:r>
        <w:rPr>
          <w:rFonts w:hint="eastAsia" w:ascii="宋体" w:hAnsi="宋体" w:eastAsia="宋体" w:cs="宋体"/>
          <w:b/>
          <w:bCs/>
          <w:color w:val="000000"/>
          <w:sz w:val="21"/>
          <w:szCs w:val="21"/>
          <w:highlight w:val="none"/>
        </w:rPr>
        <w:t>20. 争议解决</w:t>
      </w:r>
      <w:bookmarkEnd w:id="838"/>
    </w:p>
    <w:bookmarkEnd w:id="823"/>
    <w:bookmarkEnd w:id="824"/>
    <w:p w14:paraId="224AFC83">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20.3 </w:t>
      </w:r>
      <w:r>
        <w:rPr>
          <w:rFonts w:hint="eastAsia" w:ascii="宋体" w:hAnsi="宋体" w:eastAsia="宋体" w:cs="宋体"/>
          <w:color w:val="000000"/>
          <w:sz w:val="21"/>
          <w:szCs w:val="21"/>
          <w:highlight w:val="none"/>
        </w:rPr>
        <w:t>争</w:t>
      </w:r>
      <w:bookmarkEnd w:id="825"/>
      <w:r>
        <w:rPr>
          <w:rFonts w:hint="eastAsia" w:ascii="宋体" w:hAnsi="宋体" w:eastAsia="宋体" w:cs="宋体"/>
          <w:color w:val="000000"/>
          <w:sz w:val="21"/>
          <w:szCs w:val="21"/>
          <w:highlight w:val="none"/>
        </w:rPr>
        <w:t>议评审</w:t>
      </w:r>
    </w:p>
    <w:p w14:paraId="77AD505C">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3A5B0DCB">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20.3.1 争议评审小组的确定</w:t>
      </w:r>
    </w:p>
    <w:p w14:paraId="61856152">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F6D2BE2">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2AAD6B2">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争议评审小组成员的报酬承担方式：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87E943">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A6F0A1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20.3.2 争议评审小组的决定</w:t>
      </w:r>
    </w:p>
    <w:p w14:paraId="76E208B6">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4CF0213">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20.4仲裁或诉讼</w:t>
      </w:r>
      <w:bookmarkEnd w:id="826"/>
    </w:p>
    <w:p w14:paraId="0FAFE052">
      <w:pPr>
        <w:keepNext w:val="0"/>
        <w:keepLines w:val="0"/>
        <w:pageBreakBefore w:val="0"/>
        <w:widowControl w:val="0"/>
        <w:kinsoku/>
        <w:wordWrap/>
        <w:overflowPunct/>
        <w:topLinePunct w:val="0"/>
        <w:bidi w:val="0"/>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种方式解决：</w:t>
      </w:r>
    </w:p>
    <w:p w14:paraId="7706265D">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仲裁委员会申请仲裁；</w:t>
      </w:r>
    </w:p>
    <w:p w14:paraId="6B29BC3F">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人民法院起诉。</w:t>
      </w:r>
      <w:bookmarkEnd w:id="827"/>
      <w:bookmarkEnd w:id="828"/>
      <w:bookmarkEnd w:id="829"/>
      <w:bookmarkEnd w:id="830"/>
      <w:bookmarkEnd w:id="831"/>
      <w:bookmarkEnd w:id="832"/>
    </w:p>
    <w:p w14:paraId="0E1954AF">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br w:type="page"/>
      </w:r>
      <w:bookmarkStart w:id="839" w:name="_Toc351203652"/>
      <w:r>
        <w:rPr>
          <w:rFonts w:hint="eastAsia" w:ascii="宋体" w:hAnsi="宋体" w:eastAsia="宋体" w:cs="宋体"/>
          <w:b/>
          <w:color w:val="000000"/>
          <w:sz w:val="21"/>
          <w:szCs w:val="21"/>
          <w:highlight w:val="none"/>
        </w:rPr>
        <w:t>附件</w:t>
      </w:r>
      <w:bookmarkEnd w:id="839"/>
    </w:p>
    <w:p w14:paraId="528E0C17">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0712868B">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附件1：承包人承揽工程项目一览表</w:t>
      </w:r>
    </w:p>
    <w:p w14:paraId="253EB10A">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68B48EF1">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附件2：发包人供应材料设备一览表</w:t>
      </w:r>
    </w:p>
    <w:p w14:paraId="0481842D">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附件3：工程质量保修书</w:t>
      </w:r>
    </w:p>
    <w:p w14:paraId="4B690D71">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附件4：主要建设工程文件目录</w:t>
      </w:r>
    </w:p>
    <w:p w14:paraId="6E40E5EC">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附件5：承包人用于本工程施工的机械设备表</w:t>
      </w:r>
    </w:p>
    <w:p w14:paraId="6AD0913C">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附件6：承包人主要施工管理人员表</w:t>
      </w:r>
    </w:p>
    <w:p w14:paraId="4358CBC0">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附件7：分包人主要施工管理人员表</w:t>
      </w:r>
    </w:p>
    <w:p w14:paraId="0705E877">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附件8：履约担保格式</w:t>
      </w:r>
    </w:p>
    <w:p w14:paraId="3D1844BC">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附件9：预付款担保格式</w:t>
      </w:r>
    </w:p>
    <w:p w14:paraId="55D7F255">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附件10：支付担保格式</w:t>
      </w:r>
    </w:p>
    <w:p w14:paraId="5E359A15">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附件11：暂估价一览表</w:t>
      </w:r>
    </w:p>
    <w:p w14:paraId="401C7601">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sectPr>
          <w:pgSz w:w="11906" w:h="16838"/>
          <w:pgMar w:top="1417" w:right="1417" w:bottom="1417" w:left="1417" w:header="777" w:footer="641" w:gutter="0"/>
          <w:pgNumType w:fmt="decimal"/>
          <w:cols w:space="720" w:num="1"/>
          <w:rtlGutter w:val="0"/>
          <w:docGrid w:type="linesAndChars" w:linePitch="312" w:charSpace="0"/>
        </w:sectPr>
      </w:pPr>
    </w:p>
    <w:p w14:paraId="23E7407F">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w:t>
      </w:r>
    </w:p>
    <w:p w14:paraId="68C3BDD2">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9597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57F32E3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2586382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1CE6610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建筑面积(平方米)</w:t>
            </w:r>
          </w:p>
        </w:tc>
        <w:tc>
          <w:tcPr>
            <w:tcW w:w="2410" w:type="dxa"/>
            <w:tcBorders>
              <w:top w:val="single" w:color="auto" w:sz="12" w:space="0"/>
              <w:bottom w:val="double" w:color="auto" w:sz="6" w:space="0"/>
            </w:tcBorders>
            <w:noWrap w:val="0"/>
            <w:vAlign w:val="center"/>
          </w:tcPr>
          <w:p w14:paraId="7784896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19A5AC8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41708DD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171B573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759BE88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2F1D98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2F1BC3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竣工日期</w:t>
            </w:r>
          </w:p>
        </w:tc>
      </w:tr>
      <w:tr w14:paraId="1AE6D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3A482F0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29F8452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3E73D81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tcBorders>
              <w:top w:val="double" w:color="auto" w:sz="6" w:space="0"/>
              <w:bottom w:val="single" w:color="auto" w:sz="6" w:space="0"/>
            </w:tcBorders>
            <w:noWrap w:val="0"/>
            <w:vAlign w:val="center"/>
          </w:tcPr>
          <w:p w14:paraId="7A41545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064EA5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13F63C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023A85A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6EDB38F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415917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44FB05E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015C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2DDAB0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1EC6636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0FE98FA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32E2BA8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4DC4D74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2E1CD0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79F201F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5E1057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368BFB3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5DC01B8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FF1B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2E394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3DE3A77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246ED1A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5E622DF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41102F8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5EC878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37B875F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5C1EC86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0AC359E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5808446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BAE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133486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48C9C84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4ADD31C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1D71553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0F60031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6D308A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2B067EA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1E8C84E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1371255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640701D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3096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8E463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4DD71F4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673BF2F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7F5FCD9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75C007A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32C71EF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50CE06C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27F82B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20C18E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2FB0B3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A4AE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DE3B18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1BE47D8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423A645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628BB0C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603CC58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3813A6C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1755B69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26472EF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0FD05A5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3A5D44A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6A0E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4F4503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6C907B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6950916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342365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358A105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0A8257B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71B2499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5167396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00516E0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0D5351E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AF2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4EADAD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7D47D7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612C1E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0C3037D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70730A8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3989FB7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3031B41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0E13056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73A8710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774FDFA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16B8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D0CD0B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37511BD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487F8C1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6390560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384709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4ED7C36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17DADAE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30644E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75BE4A5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12F3276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8EE5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515AB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tcBorders>
              <w:top w:val="nil"/>
            </w:tcBorders>
            <w:noWrap w:val="0"/>
            <w:vAlign w:val="center"/>
          </w:tcPr>
          <w:p w14:paraId="7B5B72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4F8CC68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tcBorders>
              <w:top w:val="nil"/>
            </w:tcBorders>
            <w:noWrap w:val="0"/>
            <w:vAlign w:val="center"/>
          </w:tcPr>
          <w:p w14:paraId="1BC9640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23D7147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tcBorders>
              <w:top w:val="nil"/>
            </w:tcBorders>
            <w:noWrap w:val="0"/>
            <w:vAlign w:val="center"/>
          </w:tcPr>
          <w:p w14:paraId="61D1CAA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tcBorders>
              <w:top w:val="nil"/>
            </w:tcBorders>
            <w:noWrap w:val="0"/>
            <w:vAlign w:val="center"/>
          </w:tcPr>
          <w:p w14:paraId="22E054F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tcBorders>
              <w:top w:val="nil"/>
            </w:tcBorders>
            <w:noWrap w:val="0"/>
            <w:vAlign w:val="center"/>
          </w:tcPr>
          <w:p w14:paraId="04F2961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0AC6F9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7CF431B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1057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173DDD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843" w:type="dxa"/>
            <w:noWrap w:val="0"/>
            <w:vAlign w:val="center"/>
          </w:tcPr>
          <w:p w14:paraId="381AA7B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2CC25CC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410" w:type="dxa"/>
            <w:noWrap w:val="0"/>
            <w:vAlign w:val="center"/>
          </w:tcPr>
          <w:p w14:paraId="3C2986E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49CC138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560" w:type="dxa"/>
            <w:noWrap w:val="0"/>
            <w:vAlign w:val="center"/>
          </w:tcPr>
          <w:p w14:paraId="185AB57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2126" w:type="dxa"/>
            <w:noWrap w:val="0"/>
            <w:vAlign w:val="center"/>
          </w:tcPr>
          <w:p w14:paraId="3CB6514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7" w:type="dxa"/>
            <w:noWrap w:val="0"/>
            <w:vAlign w:val="center"/>
          </w:tcPr>
          <w:p w14:paraId="3B45E11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5FC8A9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1DB1BC7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bl>
    <w:p w14:paraId="0A8653B6">
      <w:pPr>
        <w:pageBreakBefore w:val="0"/>
        <w:widowControl w:val="0"/>
        <w:kinsoku/>
        <w:wordWrap/>
        <w:overflowPunct/>
        <w:topLinePunct w:val="0"/>
        <w:bidi w:val="0"/>
        <w:snapToGrid/>
        <w:spacing w:line="440" w:lineRule="exact"/>
        <w:outlineLvl w:val="9"/>
        <w:rPr>
          <w:rFonts w:hint="eastAsia" w:ascii="宋体" w:hAnsi="宋体" w:eastAsia="宋体" w:cs="宋体"/>
          <w:b/>
          <w:color w:val="000000"/>
          <w:sz w:val="21"/>
          <w:szCs w:val="21"/>
          <w:highlight w:val="none"/>
        </w:rPr>
        <w:sectPr>
          <w:pgSz w:w="16838" w:h="11906" w:orient="landscape"/>
          <w:pgMar w:top="1417" w:right="1417" w:bottom="1417" w:left="1417" w:header="777" w:footer="641" w:gutter="0"/>
          <w:pgNumType w:fmt="decimal"/>
          <w:cols w:space="720" w:num="1"/>
          <w:rtlGutter w:val="0"/>
          <w:docGrid w:type="linesAndChars" w:linePitch="312" w:charSpace="0"/>
        </w:sectPr>
      </w:pPr>
    </w:p>
    <w:p w14:paraId="5F85E1A1">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840" w:name="_Toc296891053"/>
      <w:bookmarkStart w:id="841" w:name="_Toc267261692"/>
      <w:bookmarkStart w:id="842" w:name="_Toc296891265"/>
      <w:bookmarkStart w:id="843" w:name="_Toc296503225"/>
      <w:bookmarkStart w:id="844" w:name="_Toc296347224"/>
      <w:bookmarkStart w:id="845" w:name="_Toc296944564"/>
      <w:bookmarkStart w:id="846" w:name="_Toc296346726"/>
      <w:r>
        <w:rPr>
          <w:rFonts w:hint="eastAsia" w:ascii="宋体" w:hAnsi="宋体" w:eastAsia="宋体" w:cs="宋体"/>
          <w:color w:val="000000"/>
          <w:sz w:val="21"/>
          <w:szCs w:val="21"/>
          <w:highlight w:val="none"/>
        </w:rPr>
        <w:t>件2：</w:t>
      </w:r>
    </w:p>
    <w:bookmarkEnd w:id="840"/>
    <w:bookmarkEnd w:id="841"/>
    <w:bookmarkEnd w:id="842"/>
    <w:bookmarkEnd w:id="843"/>
    <w:bookmarkEnd w:id="844"/>
    <w:bookmarkEnd w:id="845"/>
    <w:bookmarkEnd w:id="846"/>
    <w:p w14:paraId="52FAFC1D">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发包人供应材料设备一览表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C07F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2673C71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276" w:type="dxa"/>
            <w:tcBorders>
              <w:top w:val="single" w:color="auto" w:sz="12" w:space="0"/>
              <w:bottom w:val="double" w:color="auto" w:sz="6" w:space="0"/>
            </w:tcBorders>
            <w:noWrap w:val="0"/>
            <w:vAlign w:val="center"/>
          </w:tcPr>
          <w:p w14:paraId="0FEFF2F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 xml:space="preserve">  材料、</w:t>
            </w:r>
          </w:p>
          <w:p w14:paraId="53F14D73">
            <w:pPr>
              <w:pStyle w:val="3"/>
              <w:keepNext/>
              <w:pageBreakBefore w:val="0"/>
              <w:widowControl w:val="0"/>
              <w:kinsoku/>
              <w:wordWrap/>
              <w:overflowPunct/>
              <w:topLinePunct w:val="0"/>
              <w:bidi w:val="0"/>
              <w:snapToGrid/>
              <w:spacing w:after="0" w:line="440" w:lineRule="exact"/>
              <w:ind w:left="0" w:leftChars="0" w:right="63"/>
              <w:jc w:val="both"/>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设备品种</w:t>
            </w:r>
          </w:p>
        </w:tc>
        <w:tc>
          <w:tcPr>
            <w:tcW w:w="1418" w:type="dxa"/>
            <w:tcBorders>
              <w:top w:val="single" w:color="auto" w:sz="12" w:space="0"/>
              <w:bottom w:val="double" w:color="auto" w:sz="6" w:space="0"/>
            </w:tcBorders>
            <w:noWrap w:val="0"/>
            <w:vAlign w:val="center"/>
          </w:tcPr>
          <w:p w14:paraId="40E2103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规格型号</w:t>
            </w:r>
          </w:p>
        </w:tc>
        <w:tc>
          <w:tcPr>
            <w:tcW w:w="940" w:type="dxa"/>
            <w:tcBorders>
              <w:top w:val="single" w:color="auto" w:sz="12" w:space="0"/>
              <w:bottom w:val="double" w:color="auto" w:sz="6" w:space="0"/>
            </w:tcBorders>
            <w:noWrap w:val="0"/>
            <w:vAlign w:val="center"/>
          </w:tcPr>
          <w:p w14:paraId="7F7A567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w:t>
            </w:r>
          </w:p>
        </w:tc>
        <w:tc>
          <w:tcPr>
            <w:tcW w:w="851" w:type="dxa"/>
            <w:tcBorders>
              <w:top w:val="single" w:color="auto" w:sz="12" w:space="0"/>
              <w:bottom w:val="double" w:color="auto" w:sz="6" w:space="0"/>
            </w:tcBorders>
            <w:noWrap w:val="0"/>
            <w:vAlign w:val="center"/>
          </w:tcPr>
          <w:p w14:paraId="4FBF1C4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6AC50CC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单价（元）</w:t>
            </w:r>
          </w:p>
        </w:tc>
        <w:tc>
          <w:tcPr>
            <w:tcW w:w="992" w:type="dxa"/>
            <w:tcBorders>
              <w:top w:val="single" w:color="auto" w:sz="12" w:space="0"/>
              <w:bottom w:val="double" w:color="auto" w:sz="6" w:space="0"/>
            </w:tcBorders>
            <w:noWrap w:val="0"/>
            <w:vAlign w:val="center"/>
          </w:tcPr>
          <w:p w14:paraId="0A0E7DD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质量等级</w:t>
            </w:r>
          </w:p>
        </w:tc>
        <w:tc>
          <w:tcPr>
            <w:tcW w:w="851" w:type="dxa"/>
            <w:tcBorders>
              <w:top w:val="single" w:color="auto" w:sz="12" w:space="0"/>
              <w:bottom w:val="double" w:color="auto" w:sz="6" w:space="0"/>
            </w:tcBorders>
            <w:noWrap w:val="0"/>
            <w:vAlign w:val="center"/>
          </w:tcPr>
          <w:p w14:paraId="6740CC1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6DF8C7A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送达地点</w:t>
            </w:r>
          </w:p>
        </w:tc>
        <w:tc>
          <w:tcPr>
            <w:tcW w:w="992" w:type="dxa"/>
            <w:tcBorders>
              <w:top w:val="single" w:color="auto" w:sz="12" w:space="0"/>
              <w:bottom w:val="double" w:color="auto" w:sz="6" w:space="0"/>
            </w:tcBorders>
            <w:noWrap w:val="0"/>
            <w:vAlign w:val="center"/>
          </w:tcPr>
          <w:p w14:paraId="78E60D5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6FF76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407AB23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14:paraId="5C0FF8E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4F9FAE2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tcBorders>
              <w:top w:val="double" w:color="auto" w:sz="6" w:space="0"/>
              <w:bottom w:val="single" w:color="auto" w:sz="6" w:space="0"/>
            </w:tcBorders>
            <w:noWrap w:val="0"/>
            <w:vAlign w:val="center"/>
          </w:tcPr>
          <w:p w14:paraId="4759534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45FC1BC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71FDB55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14:paraId="1C22B88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167154F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60AD481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14:paraId="318F342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7689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4F17C0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tcBorders>
              <w:top w:val="nil"/>
            </w:tcBorders>
            <w:noWrap w:val="0"/>
            <w:vAlign w:val="center"/>
          </w:tcPr>
          <w:p w14:paraId="6BFF059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center"/>
          </w:tcPr>
          <w:p w14:paraId="0CD9C21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tcBorders>
              <w:top w:val="nil"/>
            </w:tcBorders>
            <w:noWrap w:val="0"/>
            <w:vAlign w:val="center"/>
          </w:tcPr>
          <w:p w14:paraId="5D52DEB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3E5244A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tcBorders>
              <w:top w:val="nil"/>
            </w:tcBorders>
            <w:noWrap w:val="0"/>
            <w:vAlign w:val="center"/>
          </w:tcPr>
          <w:p w14:paraId="6DF2BD4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tcBorders>
              <w:top w:val="nil"/>
            </w:tcBorders>
            <w:noWrap w:val="0"/>
            <w:vAlign w:val="center"/>
          </w:tcPr>
          <w:p w14:paraId="036CF50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center"/>
          </w:tcPr>
          <w:p w14:paraId="1C66F44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tcBorders>
              <w:top w:val="nil"/>
            </w:tcBorders>
            <w:noWrap w:val="0"/>
            <w:vAlign w:val="center"/>
          </w:tcPr>
          <w:p w14:paraId="044DFE3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tcBorders>
              <w:top w:val="nil"/>
            </w:tcBorders>
            <w:noWrap w:val="0"/>
            <w:vAlign w:val="center"/>
          </w:tcPr>
          <w:p w14:paraId="649F144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40DF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27B256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5D8CF97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53D92C1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7B8E4D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558F254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024029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209FC66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476F917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0374B53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249AFA2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A6C5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8EACD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3E08901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3E7463A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2B4A512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2600C70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1811F61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7683FF0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00245B7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12D619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0C7F592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8339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2846C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1FE7249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3AD932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638B53B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0EE67EB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489C569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5D9286D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3D02045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2742702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4C2EC4C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423F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F146E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6574D73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CDD8C5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6D73B6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694AF79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19F6743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4B5461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4652AE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2FFBC29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42B2195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9AE8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9848D5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395020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2A447F7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6BC7C43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47CEB48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2461A86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13A30F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6BF453D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0DB18A6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66F6D9D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CE74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CD0542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6F86D9F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79D264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5A8501A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3C5CA45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702D9A3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42A6B3F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2B09036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251A197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1B8D9A5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7125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E48B08">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426C8F52">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5D1820F5">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11F6D411">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36F7BC73">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2EF9EBEB">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23DF4692">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4506B12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1085A742">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1BCEF274">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75B74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D06884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14FD64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73FD4C3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40" w:type="dxa"/>
            <w:noWrap w:val="0"/>
            <w:vAlign w:val="center"/>
          </w:tcPr>
          <w:p w14:paraId="38910AD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1D41E52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44" w:type="dxa"/>
            <w:noWrap w:val="0"/>
            <w:vAlign w:val="center"/>
          </w:tcPr>
          <w:p w14:paraId="7B47AB1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3433DBB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center"/>
          </w:tcPr>
          <w:p w14:paraId="3604763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7" w:type="dxa"/>
            <w:noWrap w:val="0"/>
            <w:vAlign w:val="center"/>
          </w:tcPr>
          <w:p w14:paraId="514576B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92" w:type="dxa"/>
            <w:noWrap w:val="0"/>
            <w:vAlign w:val="center"/>
          </w:tcPr>
          <w:p w14:paraId="4A2FA37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51CD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8850C19">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62716A7A">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75261B8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71D5883D">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3DFED563">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5392C8A3">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3BFB3670">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3BD39B5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2FB727BA">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0C7C7DFE">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5F85C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2F1CE64">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39ABD7CE">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548EAA86">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4AF093C0">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2AEAC4DA">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37554E53">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005406A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509312E1">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304C5749">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17042754">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06B79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EA3F68">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2CDD105A">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10E9AA61">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7D39F634">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195DAA3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0B3B3FA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2F7F4A8B">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4BF3C9F2">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45D75194">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621860C8">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4D275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146CE2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38B010A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6600F9F9">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350FD848">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55F5DDB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32A1EC3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3414810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4B76EDE3">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15AEB3F2">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5C1EC8F6">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3CFD6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A27BB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0C61F0CB">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440BB3C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53331F48">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4444AF56">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0F3D142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1C5FBA00">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0F6A87A6">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28C5549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2810DF0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2DC4B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B3413D2">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5593C4ED">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52C5BEAE">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5FD298B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1C310CFD">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4A20F41A">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4D91BF2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7DC55A84">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2D31002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5D247733">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0F776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8F4B466">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6D35292C">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4738E449">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1464AD39">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362C8855">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3470AF7D">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776BBC01">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683D2ED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0A22A574">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3C7305D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r w14:paraId="0A181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FB07088">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276" w:type="dxa"/>
            <w:noWrap w:val="0"/>
            <w:vAlign w:val="center"/>
          </w:tcPr>
          <w:p w14:paraId="54FAC992">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18" w:type="dxa"/>
            <w:noWrap w:val="0"/>
            <w:vAlign w:val="center"/>
          </w:tcPr>
          <w:p w14:paraId="56E18E0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40" w:type="dxa"/>
            <w:noWrap w:val="0"/>
            <w:vAlign w:val="center"/>
          </w:tcPr>
          <w:p w14:paraId="455115DB">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4604B1FB">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044" w:type="dxa"/>
            <w:noWrap w:val="0"/>
            <w:vAlign w:val="center"/>
          </w:tcPr>
          <w:p w14:paraId="2A4C103D">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57FBB28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851" w:type="dxa"/>
            <w:noWrap w:val="0"/>
            <w:vAlign w:val="center"/>
          </w:tcPr>
          <w:p w14:paraId="1C92C4FF">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1487" w:type="dxa"/>
            <w:noWrap w:val="0"/>
            <w:vAlign w:val="center"/>
          </w:tcPr>
          <w:p w14:paraId="4671F630">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c>
          <w:tcPr>
            <w:tcW w:w="992" w:type="dxa"/>
            <w:noWrap w:val="0"/>
            <w:vAlign w:val="center"/>
          </w:tcPr>
          <w:p w14:paraId="7A2C4987">
            <w:pPr>
              <w:pageBreakBefore w:val="0"/>
              <w:widowControl w:val="0"/>
              <w:kinsoku/>
              <w:wordWrap/>
              <w:overflowPunct/>
              <w:topLinePunct w:val="0"/>
              <w:bidi w:val="0"/>
              <w:snapToGrid/>
              <w:jc w:val="center"/>
              <w:outlineLvl w:val="9"/>
              <w:rPr>
                <w:rFonts w:hint="eastAsia" w:ascii="宋体" w:hAnsi="宋体" w:eastAsia="宋体" w:cs="宋体"/>
                <w:color w:val="000000"/>
                <w:sz w:val="21"/>
                <w:szCs w:val="21"/>
                <w:highlight w:val="none"/>
              </w:rPr>
            </w:pPr>
          </w:p>
        </w:tc>
      </w:tr>
    </w:tbl>
    <w:p w14:paraId="165A3692">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4021AFD0">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54E9508C">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1F404057">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847" w:name="_Toc267261693"/>
      <w:bookmarkStart w:id="848" w:name="_Toc296891266"/>
      <w:bookmarkStart w:id="849" w:name="_Toc296346727"/>
      <w:bookmarkStart w:id="850" w:name="_Toc296503226"/>
      <w:bookmarkStart w:id="851" w:name="_Toc296944565"/>
      <w:bookmarkStart w:id="852" w:name="_Toc296891054"/>
      <w:bookmarkStart w:id="853" w:name="_Toc296347225"/>
      <w:r>
        <w:rPr>
          <w:rFonts w:hint="eastAsia" w:ascii="宋体" w:hAnsi="宋体" w:eastAsia="宋体" w:cs="宋体"/>
          <w:color w:val="000000"/>
          <w:sz w:val="21"/>
          <w:szCs w:val="21"/>
          <w:highlight w:val="none"/>
        </w:rPr>
        <w:t>件3：</w:t>
      </w:r>
      <w:bookmarkEnd w:id="847"/>
      <w:bookmarkEnd w:id="848"/>
      <w:bookmarkEnd w:id="849"/>
      <w:bookmarkEnd w:id="850"/>
      <w:bookmarkEnd w:id="851"/>
      <w:bookmarkEnd w:id="852"/>
      <w:bookmarkEnd w:id="853"/>
      <w:r>
        <w:rPr>
          <w:rFonts w:hint="eastAsia" w:ascii="宋体" w:hAnsi="宋体" w:eastAsia="宋体" w:cs="宋体"/>
          <w:color w:val="000000"/>
          <w:sz w:val="21"/>
          <w:szCs w:val="21"/>
          <w:highlight w:val="none"/>
        </w:rPr>
        <w:t xml:space="preserve">    </w:t>
      </w:r>
    </w:p>
    <w:p w14:paraId="0957BD41">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工程质量保修书</w:t>
      </w:r>
    </w:p>
    <w:p w14:paraId="2DE4B9EB">
      <w:pPr>
        <w:pageBreakBefore w:val="0"/>
        <w:widowControl w:val="0"/>
        <w:kinsoku/>
        <w:wordWrap/>
        <w:overflowPunct/>
        <w:topLinePunct w:val="0"/>
        <w:bidi w:val="0"/>
        <w:snapToGrid/>
        <w:spacing w:line="44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发包人（全称）：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312BF468">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承包人（全称）：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41827D43">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58AFF5E3">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发包人和承包人根据《中华人民共和国建筑法》和《建设工程质量管理条例》，经协商一致就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（工程全称）签订工程质量保修书。</w:t>
      </w:r>
    </w:p>
    <w:p w14:paraId="231AD58A">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一、工程质量保修范围和内容</w:t>
      </w:r>
    </w:p>
    <w:p w14:paraId="7502E62B">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承包人在质量保修期内，按照有关法律规定和合同约定，承担工程质量保修责任。</w:t>
      </w:r>
    </w:p>
    <w:p w14:paraId="1431A548">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A171F8D">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D16B39">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　　</w:t>
      </w:r>
      <w:r>
        <w:rPr>
          <w:rFonts w:hint="eastAsia" w:ascii="宋体" w:hAnsi="宋体" w:eastAsia="宋体" w:cs="宋体"/>
          <w:color w:val="000000"/>
          <w:sz w:val="21"/>
          <w:szCs w:val="21"/>
          <w:highlight w:val="none"/>
        </w:rPr>
        <w:t>二、质量保修期</w:t>
      </w:r>
    </w:p>
    <w:p w14:paraId="4390AAC4">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根据《建设工程质量管理条例》及有关规定，工程的质量保修期如下：</w:t>
      </w:r>
    </w:p>
    <w:p w14:paraId="72467B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1．地基基础工程和主体结构工程为设计文件规定的工程合理使用年限；</w:t>
      </w:r>
    </w:p>
    <w:p w14:paraId="5757B9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     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7BB78A6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3．装修工程为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5301CA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4．电气管线、给排水管道、设备安装工程为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459F43E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个采暖期、供冷期；</w:t>
      </w:r>
    </w:p>
    <w:p w14:paraId="4C422FB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p>
    <w:p w14:paraId="0FF3F9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p>
    <w:p w14:paraId="62FB9AF9">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1D2962E">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质量保修期自工程竣工验收合格之日起计算。</w:t>
      </w:r>
    </w:p>
    <w:p w14:paraId="14DEEF04">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769F070C">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个月，缺陷责任期自工程通过竣工验收之日起计算。单位工程先于全部工程进行验收，单位工程缺陷责任期自单位工程验收合格之日起算。</w:t>
      </w:r>
    </w:p>
    <w:p w14:paraId="2C12FAAA">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缺陷责任期终止后，发包人应退还剩余的质量保证金。</w:t>
      </w:r>
    </w:p>
    <w:p w14:paraId="23CA741D">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四、质量保修责任</w:t>
      </w:r>
    </w:p>
    <w:p w14:paraId="112D1326">
      <w:pPr>
        <w:pageBreakBefore w:val="0"/>
        <w:widowControl w:val="0"/>
        <w:kinsoku/>
        <w:wordWrap/>
        <w:overflowPunct/>
        <w:topLinePunct w:val="0"/>
        <w:bidi w:val="0"/>
        <w:snapToGrid/>
        <w:spacing w:line="360" w:lineRule="auto"/>
        <w:ind w:left="105" w:leftChars="50" w:firstLine="430" w:firstLineChars="205"/>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1．属于保修范围、内容的项目，承包人应当在接到保修通知之日起7天内派人保修。承包人不在约定期限内派人保修的，发包人可以委托他人修理。</w:t>
      </w:r>
    </w:p>
    <w:p w14:paraId="776558B5">
      <w:pPr>
        <w:pageBreakBefore w:val="0"/>
        <w:widowControl w:val="0"/>
        <w:kinsoku/>
        <w:wordWrap/>
        <w:overflowPunct/>
        <w:topLinePunct w:val="0"/>
        <w:bidi w:val="0"/>
        <w:snapToGrid/>
        <w:spacing w:line="360" w:lineRule="auto"/>
        <w:ind w:left="105" w:leftChars="50" w:firstLine="430" w:firstLineChars="205"/>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2．发生紧急事故需抢修的，承包人在接到事故通知后，应当立即到达事故现场抢修。</w:t>
      </w:r>
    </w:p>
    <w:p w14:paraId="44E4E211">
      <w:pPr>
        <w:pageBreakBefore w:val="0"/>
        <w:widowControl w:val="0"/>
        <w:kinsoku/>
        <w:wordWrap/>
        <w:overflowPunct/>
        <w:topLinePunct w:val="0"/>
        <w:bidi w:val="0"/>
        <w:snapToGrid/>
        <w:spacing w:line="360" w:lineRule="auto"/>
        <w:ind w:left="105" w:leftChars="50" w:firstLine="430" w:firstLineChars="205"/>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844000">
      <w:pPr>
        <w:pageBreakBefore w:val="0"/>
        <w:widowControl w:val="0"/>
        <w:kinsoku/>
        <w:wordWrap/>
        <w:overflowPunct/>
        <w:topLinePunct w:val="0"/>
        <w:bidi w:val="0"/>
        <w:snapToGrid/>
        <w:spacing w:line="360" w:lineRule="auto"/>
        <w:ind w:left="420" w:leftChars="200" w:firstLine="105" w:firstLineChars="5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387AB772">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五、保修费用</w:t>
      </w:r>
    </w:p>
    <w:p w14:paraId="7B715765">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保修费用由造成质量缺陷的责任方承担。</w:t>
      </w:r>
    </w:p>
    <w:p w14:paraId="4413B345">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六</w:t>
      </w:r>
      <w:r>
        <w:rPr>
          <w:rFonts w:hint="eastAsia" w:ascii="宋体" w:hAnsi="宋体" w:eastAsia="宋体" w:cs="宋体"/>
          <w:color w:val="000000"/>
          <w:sz w:val="21"/>
          <w:szCs w:val="21"/>
          <w:highlight w:val="none"/>
        </w:rPr>
        <w:t>、双方约定的其他工程质量保修事项：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A487ABE">
      <w:pPr>
        <w:pageBreakBefore w:val="0"/>
        <w:widowControl w:val="0"/>
        <w:kinsoku/>
        <w:wordWrap/>
        <w:overflowPunct/>
        <w:topLinePunct w:val="0"/>
        <w:bidi w:val="0"/>
        <w:snapToGrid/>
        <w:spacing w:line="360" w:lineRule="auto"/>
        <w:ind w:firstLine="399" w:firstLineChars="19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工程质量保修书由发包人、承包人在工程竣工验收前共同签署，作为施工合同附件，其有效期限至保修期满。</w:t>
      </w:r>
    </w:p>
    <w:p w14:paraId="43D897B8">
      <w:pPr>
        <w:pageBreakBefore w:val="0"/>
        <w:widowControl w:val="0"/>
        <w:kinsoku/>
        <w:wordWrap/>
        <w:overflowPunct/>
        <w:topLinePunct w:val="0"/>
        <w:bidi w:val="0"/>
        <w:snapToGrid/>
        <w:spacing w:line="360" w:lineRule="auto"/>
        <w:ind w:firstLine="420"/>
        <w:outlineLvl w:val="9"/>
        <w:rPr>
          <w:rFonts w:hint="eastAsia" w:ascii="宋体" w:hAnsi="宋体" w:eastAsia="宋体" w:cs="宋体"/>
          <w:color w:val="000000"/>
          <w:sz w:val="21"/>
          <w:szCs w:val="21"/>
          <w:highlight w:val="none"/>
        </w:rPr>
      </w:pPr>
    </w:p>
    <w:p w14:paraId="594C260B">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发包人(公章)：</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 xml:space="preserve"> 承包人(公章)：</w:t>
      </w:r>
      <w:r>
        <w:rPr>
          <w:rFonts w:hint="eastAsia" w:ascii="宋体" w:hAnsi="宋体" w:eastAsia="宋体" w:cs="宋体"/>
          <w:color w:val="000000"/>
          <w:sz w:val="21"/>
          <w:szCs w:val="21"/>
          <w:highlight w:val="none"/>
          <w:u w:val="single"/>
        </w:rPr>
        <w:t xml:space="preserve">           </w:t>
      </w:r>
    </w:p>
    <w:p w14:paraId="2F90198F">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地  址：</w:t>
      </w:r>
      <w:r>
        <w:rPr>
          <w:rFonts w:hint="eastAsia" w:ascii="宋体" w:hAnsi="宋体" w:eastAsia="宋体" w:cs="宋体"/>
          <w:color w:val="000000"/>
          <w:sz w:val="21"/>
          <w:szCs w:val="21"/>
          <w:highlight w:val="none"/>
          <w:u w:val="single"/>
        </w:rPr>
        <w:t xml:space="preserve">       </w:t>
      </w:r>
    </w:p>
    <w:p w14:paraId="435E61E4">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法定代表人(签字)：</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法定代表人(签字)：</w:t>
      </w:r>
      <w:r>
        <w:rPr>
          <w:rFonts w:hint="eastAsia" w:ascii="宋体" w:hAnsi="宋体" w:eastAsia="宋体" w:cs="宋体"/>
          <w:color w:val="000000"/>
          <w:sz w:val="21"/>
          <w:szCs w:val="21"/>
          <w:highlight w:val="none"/>
          <w:u w:val="single"/>
        </w:rPr>
        <w:t xml:space="preserve">       </w:t>
      </w:r>
    </w:p>
    <w:p w14:paraId="4420BC4C">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委托代理人(签字)：</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委托代理人(签字)：</w:t>
      </w:r>
      <w:r>
        <w:rPr>
          <w:rFonts w:hint="eastAsia" w:ascii="宋体" w:hAnsi="宋体" w:eastAsia="宋体" w:cs="宋体"/>
          <w:color w:val="000000"/>
          <w:sz w:val="21"/>
          <w:szCs w:val="21"/>
          <w:highlight w:val="none"/>
          <w:u w:val="single"/>
        </w:rPr>
        <w:t xml:space="preserve">       </w:t>
      </w:r>
    </w:p>
    <w:p w14:paraId="3D194D5C">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  话：</w:t>
      </w:r>
      <w:r>
        <w:rPr>
          <w:rFonts w:hint="eastAsia" w:ascii="宋体" w:hAnsi="宋体" w:eastAsia="宋体" w:cs="宋体"/>
          <w:color w:val="000000"/>
          <w:sz w:val="21"/>
          <w:szCs w:val="21"/>
          <w:highlight w:val="none"/>
          <w:u w:val="single"/>
        </w:rPr>
        <w:t xml:space="preserve">     </w:t>
      </w:r>
    </w:p>
    <w:p w14:paraId="0DE2EE50">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传  真：</w:t>
      </w:r>
      <w:r>
        <w:rPr>
          <w:rFonts w:hint="eastAsia" w:ascii="宋体" w:hAnsi="宋体" w:eastAsia="宋体" w:cs="宋体"/>
          <w:color w:val="000000"/>
          <w:sz w:val="21"/>
          <w:szCs w:val="21"/>
          <w:highlight w:val="none"/>
          <w:u w:val="single"/>
        </w:rPr>
        <w:t xml:space="preserve">     </w:t>
      </w:r>
    </w:p>
    <w:p w14:paraId="304F8116">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开户银行：</w:t>
      </w:r>
      <w:r>
        <w:rPr>
          <w:rFonts w:hint="eastAsia" w:ascii="宋体" w:hAnsi="宋体" w:eastAsia="宋体" w:cs="宋体"/>
          <w:color w:val="000000"/>
          <w:sz w:val="21"/>
          <w:szCs w:val="21"/>
          <w:highlight w:val="none"/>
          <w:u w:val="single"/>
        </w:rPr>
        <w:t xml:space="preserve">   </w:t>
      </w:r>
    </w:p>
    <w:p w14:paraId="00562020">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账  号：</w:t>
      </w:r>
      <w:r>
        <w:rPr>
          <w:rFonts w:hint="eastAsia" w:ascii="宋体" w:hAnsi="宋体" w:eastAsia="宋体" w:cs="宋体"/>
          <w:color w:val="000000"/>
          <w:sz w:val="21"/>
          <w:szCs w:val="21"/>
          <w:highlight w:val="none"/>
          <w:u w:val="single"/>
        </w:rPr>
        <w:t xml:space="preserve">     </w:t>
      </w:r>
    </w:p>
    <w:p w14:paraId="59A738EF">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邮政编码：</w:t>
      </w:r>
      <w:r>
        <w:rPr>
          <w:rFonts w:hint="eastAsia" w:ascii="宋体" w:hAnsi="宋体" w:eastAsia="宋体" w:cs="宋体"/>
          <w:color w:val="000000"/>
          <w:sz w:val="21"/>
          <w:szCs w:val="21"/>
          <w:highlight w:val="none"/>
          <w:u w:val="single"/>
        </w:rPr>
        <w:t xml:space="preserve">   </w:t>
      </w:r>
    </w:p>
    <w:p w14:paraId="054DEFD3">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color w:val="000000"/>
          <w:sz w:val="21"/>
          <w:szCs w:val="21"/>
          <w:highlight w:val="none"/>
        </w:rPr>
        <w:t>附件4：</w:t>
      </w:r>
    </w:p>
    <w:p w14:paraId="1A817DC0">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主要建设工程文件目录</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C44C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FF044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文件名称</w:t>
            </w:r>
          </w:p>
        </w:tc>
        <w:tc>
          <w:tcPr>
            <w:tcW w:w="1276" w:type="dxa"/>
            <w:tcBorders>
              <w:top w:val="single" w:color="auto" w:sz="12" w:space="0"/>
              <w:bottom w:val="double" w:color="auto" w:sz="6" w:space="0"/>
            </w:tcBorders>
            <w:noWrap w:val="0"/>
            <w:vAlign w:val="center"/>
          </w:tcPr>
          <w:p w14:paraId="57B444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6AFD382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191076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0B0E795B">
            <w:pPr>
              <w:pageBreakBefore w:val="0"/>
              <w:widowControl w:val="0"/>
              <w:kinsoku/>
              <w:wordWrap/>
              <w:overflowPunct/>
              <w:topLinePunct w:val="0"/>
              <w:bidi w:val="0"/>
              <w:snapToGrid/>
              <w:spacing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移交时间</w:t>
            </w:r>
          </w:p>
        </w:tc>
        <w:tc>
          <w:tcPr>
            <w:tcW w:w="1667" w:type="dxa"/>
            <w:tcBorders>
              <w:top w:val="single" w:color="auto" w:sz="12" w:space="0"/>
              <w:bottom w:val="double" w:color="auto" w:sz="6" w:space="0"/>
            </w:tcBorders>
            <w:noWrap w:val="0"/>
            <w:vAlign w:val="top"/>
          </w:tcPr>
          <w:p w14:paraId="29EF6046">
            <w:pPr>
              <w:pageBreakBefore w:val="0"/>
              <w:widowControl w:val="0"/>
              <w:kinsoku/>
              <w:wordWrap/>
              <w:overflowPunct/>
              <w:topLinePunct w:val="0"/>
              <w:bidi w:val="0"/>
              <w:snapToGrid/>
              <w:spacing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责任人</w:t>
            </w:r>
          </w:p>
        </w:tc>
      </w:tr>
      <w:tr w14:paraId="6E612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0B07AB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14:paraId="49DB896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67A35AC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5971919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1DB6077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tcBorders>
              <w:top w:val="double" w:color="auto" w:sz="6" w:space="0"/>
              <w:bottom w:val="single" w:color="auto" w:sz="6" w:space="0"/>
            </w:tcBorders>
            <w:noWrap w:val="0"/>
            <w:vAlign w:val="center"/>
          </w:tcPr>
          <w:p w14:paraId="675568F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6188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336A5E1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tcBorders>
              <w:top w:val="nil"/>
            </w:tcBorders>
            <w:noWrap w:val="0"/>
            <w:vAlign w:val="center"/>
          </w:tcPr>
          <w:p w14:paraId="79C4996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tcBorders>
              <w:top w:val="nil"/>
            </w:tcBorders>
            <w:noWrap w:val="0"/>
            <w:vAlign w:val="center"/>
          </w:tcPr>
          <w:p w14:paraId="17B9B0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tcBorders>
              <w:top w:val="nil"/>
            </w:tcBorders>
            <w:noWrap w:val="0"/>
            <w:vAlign w:val="center"/>
          </w:tcPr>
          <w:p w14:paraId="0185530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tcBorders>
              <w:top w:val="nil"/>
            </w:tcBorders>
            <w:noWrap w:val="0"/>
            <w:vAlign w:val="center"/>
          </w:tcPr>
          <w:p w14:paraId="35AF10A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tcBorders>
              <w:top w:val="nil"/>
            </w:tcBorders>
            <w:noWrap w:val="0"/>
            <w:vAlign w:val="center"/>
          </w:tcPr>
          <w:p w14:paraId="396C941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64EC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7CF0E8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4C0F940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64F755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404AAFD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0D1D28F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05055F0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3715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4C68CD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6A4F755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22A4F3C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02C9186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13E45A9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7346BBE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AC05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27BD50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23800D2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0215E57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53280AC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32FEE7C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6E7CB69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58CF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B6A874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5668218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13962F8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3D8D2B6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49EAE97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4EF9C9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A585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C358BB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095F1C8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2F20DE6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127D97E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4806B82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7587D46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C380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3A3AAF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44F05D3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56E38E0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01C6714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16857FA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07C863E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D268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3EDC75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7CCAED9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1C6F3012">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7CDD9F5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0D8689D6">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131057D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357E5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38D783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76" w:type="dxa"/>
            <w:noWrap w:val="0"/>
            <w:vAlign w:val="center"/>
          </w:tcPr>
          <w:p w14:paraId="72F6A90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1F23623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43" w:type="dxa"/>
            <w:noWrap w:val="0"/>
            <w:vAlign w:val="center"/>
          </w:tcPr>
          <w:p w14:paraId="26B6918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50" w:type="dxa"/>
            <w:noWrap w:val="0"/>
            <w:vAlign w:val="center"/>
          </w:tcPr>
          <w:p w14:paraId="3FAABE8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667" w:type="dxa"/>
            <w:noWrap w:val="0"/>
            <w:vAlign w:val="center"/>
          </w:tcPr>
          <w:p w14:paraId="1231443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CC0F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4CBF1B6">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56169D5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651F2AE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47E137A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3D23144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3AA14A4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6C3FC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994AF5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5E14D1B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1F93C28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3E113A8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4792C91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7578C3C2">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12769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8285B0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6CD70C6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4D57B982">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7B28EA8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2F3A7AB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76CC00A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1B5CE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06515F6">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0E1468B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79CF3A7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6BFEA1D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41AA7D7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527BF96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6865A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DDF5FD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31CE474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0B99AAD6">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53691DF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7507754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10344B3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06916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9B59C8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3C5060E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5DF312A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6CB1970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5A2B784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4BDBECD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5EB50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E064CB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4E8EB06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1AE0FFD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6CFB533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49073A71">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20EDB33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7BE26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F39FB9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6CFFA88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6C8B089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4D07E9F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2F64C3C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55D9B4D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12293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A81711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76" w:type="dxa"/>
            <w:noWrap w:val="0"/>
            <w:vAlign w:val="top"/>
          </w:tcPr>
          <w:p w14:paraId="6C34F17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3C8C6B1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243" w:type="dxa"/>
            <w:noWrap w:val="0"/>
            <w:vAlign w:val="top"/>
          </w:tcPr>
          <w:p w14:paraId="3A05D74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50" w:type="dxa"/>
            <w:noWrap w:val="0"/>
            <w:vAlign w:val="top"/>
          </w:tcPr>
          <w:p w14:paraId="2BF38AA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667" w:type="dxa"/>
            <w:noWrap w:val="0"/>
            <w:vAlign w:val="top"/>
          </w:tcPr>
          <w:p w14:paraId="42089B6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bl>
    <w:p w14:paraId="464B3717">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172C269A">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854" w:name="_Toc296891267"/>
      <w:bookmarkStart w:id="855" w:name="_Toc296346728"/>
      <w:bookmarkStart w:id="856" w:name="_Toc296347226"/>
      <w:bookmarkStart w:id="857" w:name="_Toc296891055"/>
      <w:bookmarkStart w:id="858" w:name="_Toc267261698"/>
      <w:bookmarkStart w:id="859" w:name="_Toc296503227"/>
      <w:bookmarkStart w:id="860" w:name="_Toc296944566"/>
      <w:r>
        <w:rPr>
          <w:rFonts w:hint="eastAsia" w:ascii="宋体" w:hAnsi="宋体" w:eastAsia="宋体" w:cs="宋体"/>
          <w:color w:val="000000"/>
          <w:sz w:val="21"/>
          <w:szCs w:val="21"/>
          <w:highlight w:val="none"/>
        </w:rPr>
        <w:t>件5：</w:t>
      </w:r>
    </w:p>
    <w:bookmarkEnd w:id="854"/>
    <w:bookmarkEnd w:id="855"/>
    <w:bookmarkEnd w:id="856"/>
    <w:bookmarkEnd w:id="857"/>
    <w:bookmarkEnd w:id="858"/>
    <w:bookmarkEnd w:id="859"/>
    <w:bookmarkEnd w:id="860"/>
    <w:p w14:paraId="44F6E49C">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9FC8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095E280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1793F6F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527EB1A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3E8D6AA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269238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产地</w:t>
            </w:r>
          </w:p>
        </w:tc>
        <w:tc>
          <w:tcPr>
            <w:tcW w:w="1020" w:type="dxa"/>
            <w:tcBorders>
              <w:top w:val="single" w:color="auto" w:sz="12" w:space="0"/>
              <w:bottom w:val="double" w:color="auto" w:sz="6" w:space="0"/>
            </w:tcBorders>
            <w:noWrap w:val="0"/>
            <w:vAlign w:val="center"/>
          </w:tcPr>
          <w:p w14:paraId="6B1909A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制造年份</w:t>
            </w:r>
          </w:p>
        </w:tc>
        <w:tc>
          <w:tcPr>
            <w:tcW w:w="1480" w:type="dxa"/>
            <w:tcBorders>
              <w:top w:val="single" w:color="auto" w:sz="12" w:space="0"/>
              <w:bottom w:val="double" w:color="auto" w:sz="6" w:space="0"/>
            </w:tcBorders>
            <w:noWrap w:val="0"/>
            <w:vAlign w:val="center"/>
          </w:tcPr>
          <w:p w14:paraId="6359CE1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额定功率(kW)</w:t>
            </w:r>
          </w:p>
        </w:tc>
        <w:tc>
          <w:tcPr>
            <w:tcW w:w="1020" w:type="dxa"/>
            <w:tcBorders>
              <w:top w:val="single" w:color="auto" w:sz="12" w:space="0"/>
              <w:bottom w:val="double" w:color="auto" w:sz="6" w:space="0"/>
            </w:tcBorders>
            <w:noWrap w:val="0"/>
            <w:vAlign w:val="center"/>
          </w:tcPr>
          <w:p w14:paraId="7CD2BE1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生产能力</w:t>
            </w:r>
          </w:p>
        </w:tc>
        <w:tc>
          <w:tcPr>
            <w:tcW w:w="921" w:type="dxa"/>
            <w:tcBorders>
              <w:top w:val="single" w:color="auto" w:sz="12" w:space="0"/>
              <w:bottom w:val="double" w:color="auto" w:sz="6" w:space="0"/>
            </w:tcBorders>
            <w:noWrap w:val="0"/>
            <w:vAlign w:val="center"/>
          </w:tcPr>
          <w:p w14:paraId="0724990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228CC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FDE6C2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53D7FA2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558A30A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36F410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384784E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14:paraId="1E11C4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tcBorders>
              <w:top w:val="double" w:color="auto" w:sz="6" w:space="0"/>
              <w:bottom w:val="single" w:color="auto" w:sz="6" w:space="0"/>
            </w:tcBorders>
            <w:noWrap w:val="0"/>
            <w:vAlign w:val="center"/>
          </w:tcPr>
          <w:p w14:paraId="54F1EDA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14:paraId="08266D6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tcBorders>
              <w:top w:val="double" w:color="auto" w:sz="6" w:space="0"/>
              <w:bottom w:val="single" w:color="auto" w:sz="6" w:space="0"/>
            </w:tcBorders>
            <w:noWrap w:val="0"/>
            <w:vAlign w:val="center"/>
          </w:tcPr>
          <w:p w14:paraId="3721A9D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47D3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51A711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center"/>
          </w:tcPr>
          <w:p w14:paraId="15C8561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tcBorders>
              <w:top w:val="nil"/>
            </w:tcBorders>
            <w:noWrap w:val="0"/>
            <w:vAlign w:val="center"/>
          </w:tcPr>
          <w:p w14:paraId="65103A8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tcBorders>
              <w:top w:val="nil"/>
            </w:tcBorders>
            <w:noWrap w:val="0"/>
            <w:vAlign w:val="center"/>
          </w:tcPr>
          <w:p w14:paraId="600F8A6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tcBorders>
              <w:top w:val="nil"/>
            </w:tcBorders>
            <w:noWrap w:val="0"/>
            <w:vAlign w:val="center"/>
          </w:tcPr>
          <w:p w14:paraId="42444E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tcBorders>
              <w:top w:val="nil"/>
            </w:tcBorders>
            <w:noWrap w:val="0"/>
            <w:vAlign w:val="center"/>
          </w:tcPr>
          <w:p w14:paraId="56FB39E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tcBorders>
              <w:top w:val="nil"/>
            </w:tcBorders>
            <w:noWrap w:val="0"/>
            <w:vAlign w:val="center"/>
          </w:tcPr>
          <w:p w14:paraId="21F17AF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tcBorders>
              <w:top w:val="nil"/>
            </w:tcBorders>
            <w:noWrap w:val="0"/>
            <w:vAlign w:val="center"/>
          </w:tcPr>
          <w:p w14:paraId="4C57DB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tcBorders>
              <w:top w:val="nil"/>
            </w:tcBorders>
            <w:noWrap w:val="0"/>
            <w:vAlign w:val="center"/>
          </w:tcPr>
          <w:p w14:paraId="2ECD0B4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B665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71BD8C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7D66E9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3ED2C4C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0CBE8A4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5285917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2C43611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4D98266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7087009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5963A39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462E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368172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CE3E48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060D390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4A88989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60F308B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4A9CDF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29F00A3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7221268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37695A4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54D5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33F9B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8F2D6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53C38F2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12C6200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42B12B4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190D2C2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50B6A9A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04CDEA3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1A25976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0F4E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16BADC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2B5C73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7F56EE9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302B729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3D048FE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058F7C9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432A30C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3CDC264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2AB96F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4AE6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5DB35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3B950D8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5732F50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07DB770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40B2B10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0ACFFEF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4B27B00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6D940A9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4CC7E5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90B1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C2BA5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124E861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3AAC265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63B3001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32FA831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7852C64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72E4F9A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28CBE28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420179C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210F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F11128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7A682E6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1C997C7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6BCB37A2">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3FAEA33F">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4038810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03FDDE91">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2026985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564F0EF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040B3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73224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62DE49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0" w:type="dxa"/>
            <w:noWrap w:val="0"/>
            <w:vAlign w:val="center"/>
          </w:tcPr>
          <w:p w14:paraId="4460152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58" w:type="dxa"/>
            <w:noWrap w:val="0"/>
            <w:vAlign w:val="center"/>
          </w:tcPr>
          <w:p w14:paraId="3C3B916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80" w:type="dxa"/>
            <w:noWrap w:val="0"/>
            <w:vAlign w:val="center"/>
          </w:tcPr>
          <w:p w14:paraId="41FE57A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143E2E2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80" w:type="dxa"/>
            <w:noWrap w:val="0"/>
            <w:vAlign w:val="center"/>
          </w:tcPr>
          <w:p w14:paraId="7ECCED0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020" w:type="dxa"/>
            <w:noWrap w:val="0"/>
            <w:vAlign w:val="center"/>
          </w:tcPr>
          <w:p w14:paraId="2F8797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921" w:type="dxa"/>
            <w:noWrap w:val="0"/>
            <w:vAlign w:val="center"/>
          </w:tcPr>
          <w:p w14:paraId="5D65460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53C7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E8F1EE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718DACB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71DF2A4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01B6A8E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65E063E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7323592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163116B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23E1E09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2EFBBBA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3D65C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EC81CA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4014A082">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194701AF">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52AE07A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5AB5F05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3A625B61">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116A7B3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3EE0EA7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7987197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02B05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184F51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405CB33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00ADD44F">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16A30D92">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05784B9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433A05A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11B5AEC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2F6859F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5988820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5D9AB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C71BC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7544248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72A22EAF">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36F373D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018FD3C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7E1A1F7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37BAE32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7C547A0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0187D90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6EBD5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0114C1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75073EAF">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77BE5B4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21B7746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77D6959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408C039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4BB4689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127965B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695B7291">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25DF1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53469C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5017030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2F24D85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4F9F065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334B59D1">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17CD225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4AB86FA1">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6F9B0DF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7683869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290FC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3753A5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5463F67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78974E3E">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433D968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24DB0421">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6523592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7CDE3C8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408F559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6EC37347">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2DAAC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1E5FA6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75B8077C">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4D1C4666">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352A0E7A">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0F35BF68">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0124D956">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075F680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11B080F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26D4D4F0">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r w14:paraId="19D80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BDBABA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18" w:type="dxa"/>
            <w:noWrap w:val="0"/>
            <w:vAlign w:val="top"/>
          </w:tcPr>
          <w:p w14:paraId="3F8C5FDF">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50" w:type="dxa"/>
            <w:noWrap w:val="0"/>
            <w:vAlign w:val="top"/>
          </w:tcPr>
          <w:p w14:paraId="02491E55">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58" w:type="dxa"/>
            <w:noWrap w:val="0"/>
            <w:vAlign w:val="top"/>
          </w:tcPr>
          <w:p w14:paraId="61E6F78D">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880" w:type="dxa"/>
            <w:noWrap w:val="0"/>
            <w:vAlign w:val="top"/>
          </w:tcPr>
          <w:p w14:paraId="5176B3D4">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4BA1B4C3">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480" w:type="dxa"/>
            <w:noWrap w:val="0"/>
            <w:vAlign w:val="top"/>
          </w:tcPr>
          <w:p w14:paraId="37F0DE5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1020" w:type="dxa"/>
            <w:noWrap w:val="0"/>
            <w:vAlign w:val="top"/>
          </w:tcPr>
          <w:p w14:paraId="2BC15F79">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c>
          <w:tcPr>
            <w:tcW w:w="921" w:type="dxa"/>
            <w:noWrap w:val="0"/>
            <w:vAlign w:val="top"/>
          </w:tcPr>
          <w:p w14:paraId="540EDE9B">
            <w:pPr>
              <w:pageBreakBefore w:val="0"/>
              <w:widowControl w:val="0"/>
              <w:kinsoku/>
              <w:wordWrap/>
              <w:overflowPunct/>
              <w:topLinePunct w:val="0"/>
              <w:bidi w:val="0"/>
              <w:snapToGrid/>
              <w:outlineLvl w:val="9"/>
              <w:rPr>
                <w:rFonts w:hint="eastAsia" w:ascii="宋体" w:hAnsi="宋体" w:eastAsia="宋体" w:cs="宋体"/>
                <w:color w:val="000000"/>
                <w:sz w:val="21"/>
                <w:szCs w:val="21"/>
                <w:highlight w:val="none"/>
              </w:rPr>
            </w:pPr>
          </w:p>
        </w:tc>
      </w:tr>
    </w:tbl>
    <w:p w14:paraId="039F2B51">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15A40492">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861" w:name="_Toc296891056"/>
      <w:bookmarkStart w:id="862" w:name="_Toc296503228"/>
      <w:bookmarkStart w:id="863" w:name="_Toc296891268"/>
      <w:bookmarkStart w:id="864" w:name="_Toc296347227"/>
      <w:bookmarkStart w:id="865" w:name="_Toc267261699"/>
      <w:bookmarkStart w:id="866" w:name="_Toc296944567"/>
      <w:bookmarkStart w:id="867" w:name="_Toc296346729"/>
      <w:r>
        <w:rPr>
          <w:rFonts w:hint="eastAsia" w:ascii="宋体" w:hAnsi="宋体" w:eastAsia="宋体" w:cs="宋体"/>
          <w:color w:val="000000"/>
          <w:sz w:val="21"/>
          <w:szCs w:val="21"/>
          <w:highlight w:val="none"/>
        </w:rPr>
        <w:t>件6：</w:t>
      </w:r>
    </w:p>
    <w:bookmarkEnd w:id="861"/>
    <w:bookmarkEnd w:id="862"/>
    <w:bookmarkEnd w:id="863"/>
    <w:bookmarkEnd w:id="864"/>
    <w:bookmarkEnd w:id="865"/>
    <w:bookmarkEnd w:id="866"/>
    <w:bookmarkEnd w:id="867"/>
    <w:p w14:paraId="597C426B">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1814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4917F4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6E5F032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5832A54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2AC5774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14:paraId="1D66200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主要资历、经验及承担过的项目</w:t>
            </w:r>
          </w:p>
        </w:tc>
      </w:tr>
      <w:tr w14:paraId="748C7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219B3A0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一、总部人员</w:t>
            </w:r>
          </w:p>
        </w:tc>
      </w:tr>
      <w:tr w14:paraId="71A13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B81AB4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项目主管</w:t>
            </w:r>
          </w:p>
        </w:tc>
        <w:tc>
          <w:tcPr>
            <w:tcW w:w="1418" w:type="dxa"/>
            <w:tcBorders>
              <w:top w:val="nil"/>
            </w:tcBorders>
            <w:noWrap w:val="0"/>
            <w:vAlign w:val="center"/>
          </w:tcPr>
          <w:p w14:paraId="089963B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1162750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7E1DDD3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tcBorders>
              <w:top w:val="nil"/>
            </w:tcBorders>
            <w:noWrap w:val="0"/>
            <w:vAlign w:val="center"/>
          </w:tcPr>
          <w:p w14:paraId="282CE26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60BC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5BB347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7EC740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B7C6A6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F8C841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8702F9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A176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85706B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49F0338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09EC4E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44FD2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051BC8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AC47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F2BFE1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1CD53F5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51E111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F6429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B3642D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34ED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5895F9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二、现场人员</w:t>
            </w:r>
          </w:p>
        </w:tc>
      </w:tr>
      <w:tr w14:paraId="6BD47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4C897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项目经理</w:t>
            </w:r>
          </w:p>
        </w:tc>
        <w:tc>
          <w:tcPr>
            <w:tcW w:w="1418" w:type="dxa"/>
            <w:noWrap w:val="0"/>
            <w:vAlign w:val="center"/>
          </w:tcPr>
          <w:p w14:paraId="614404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7360A9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DD02B3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BDE0EF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AC81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2CAC2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项目副经理</w:t>
            </w:r>
          </w:p>
        </w:tc>
        <w:tc>
          <w:tcPr>
            <w:tcW w:w="1418" w:type="dxa"/>
            <w:noWrap w:val="0"/>
            <w:vAlign w:val="center"/>
          </w:tcPr>
          <w:p w14:paraId="5A0A333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FC913E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3E60EF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8734B0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BDF1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CEC81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技术负责人</w:t>
            </w:r>
          </w:p>
        </w:tc>
        <w:tc>
          <w:tcPr>
            <w:tcW w:w="1418" w:type="dxa"/>
            <w:noWrap w:val="0"/>
            <w:vAlign w:val="center"/>
          </w:tcPr>
          <w:p w14:paraId="3F28BC5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44557E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A96423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75BD61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009B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59EC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造价管理</w:t>
            </w:r>
          </w:p>
        </w:tc>
        <w:tc>
          <w:tcPr>
            <w:tcW w:w="1418" w:type="dxa"/>
            <w:noWrap w:val="0"/>
            <w:vAlign w:val="center"/>
          </w:tcPr>
          <w:p w14:paraId="68D9A3F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D34460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B95C9B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738379F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9571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4ECF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质量管理</w:t>
            </w:r>
          </w:p>
        </w:tc>
        <w:tc>
          <w:tcPr>
            <w:tcW w:w="1418" w:type="dxa"/>
            <w:noWrap w:val="0"/>
            <w:vAlign w:val="center"/>
          </w:tcPr>
          <w:p w14:paraId="62E22B0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1DA6E9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AEE2E4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4372AC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D5D6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0048C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材料管理</w:t>
            </w:r>
          </w:p>
        </w:tc>
        <w:tc>
          <w:tcPr>
            <w:tcW w:w="1418" w:type="dxa"/>
            <w:noWrap w:val="0"/>
            <w:vAlign w:val="center"/>
          </w:tcPr>
          <w:p w14:paraId="050D156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E2B1BD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AEB2AC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0EDBC2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747F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5A9D0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计划管理</w:t>
            </w:r>
          </w:p>
        </w:tc>
        <w:tc>
          <w:tcPr>
            <w:tcW w:w="1418" w:type="dxa"/>
            <w:noWrap w:val="0"/>
            <w:vAlign w:val="center"/>
          </w:tcPr>
          <w:p w14:paraId="448FD11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4D57C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FB72C4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82BE0D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2CDE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C20180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安全管理</w:t>
            </w:r>
          </w:p>
        </w:tc>
        <w:tc>
          <w:tcPr>
            <w:tcW w:w="1418" w:type="dxa"/>
            <w:noWrap w:val="0"/>
            <w:vAlign w:val="center"/>
          </w:tcPr>
          <w:p w14:paraId="57E672A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3C1772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143F1C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10E83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136E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1ECD19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7912889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140B3B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043E7E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2D6DE5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2AF4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5A3387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bottom w:val="nil"/>
            </w:tcBorders>
            <w:noWrap w:val="0"/>
            <w:vAlign w:val="center"/>
          </w:tcPr>
          <w:p w14:paraId="316BA40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2715463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4863F90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tcBorders>
              <w:bottom w:val="nil"/>
            </w:tcBorders>
            <w:noWrap w:val="0"/>
            <w:vAlign w:val="center"/>
          </w:tcPr>
          <w:p w14:paraId="07C9092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B407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510DE0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263B0C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4F2FFF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20D4E6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3F3EA53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FC3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0E0ADC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1955DC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B59865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DB6668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CB7E57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5182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5E499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EC508F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800AA0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2D70AB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652C75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5F8C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261BDD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bottom w:val="single" w:color="auto" w:sz="12" w:space="0"/>
            </w:tcBorders>
            <w:noWrap w:val="0"/>
            <w:vAlign w:val="center"/>
          </w:tcPr>
          <w:p w14:paraId="7E720EA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507814F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3D869C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tcBorders>
              <w:bottom w:val="single" w:color="auto" w:sz="12" w:space="0"/>
            </w:tcBorders>
            <w:noWrap w:val="0"/>
            <w:vAlign w:val="center"/>
          </w:tcPr>
          <w:p w14:paraId="0BB57C8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bl>
    <w:p w14:paraId="1DD1DF9E">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868" w:name="_Toc296346730"/>
      <w:bookmarkStart w:id="869" w:name="_Toc296891269"/>
      <w:bookmarkStart w:id="870" w:name="_Toc296503229"/>
      <w:bookmarkStart w:id="871" w:name="_Toc296347228"/>
      <w:bookmarkStart w:id="872" w:name="_Toc296891057"/>
      <w:bookmarkStart w:id="873" w:name="_Toc296944568"/>
      <w:r>
        <w:rPr>
          <w:rFonts w:hint="eastAsia" w:ascii="宋体" w:hAnsi="宋体" w:eastAsia="宋体" w:cs="宋体"/>
          <w:color w:val="000000"/>
          <w:sz w:val="21"/>
          <w:szCs w:val="21"/>
          <w:highlight w:val="none"/>
        </w:rPr>
        <w:t>件7：</w:t>
      </w:r>
    </w:p>
    <w:bookmarkEnd w:id="868"/>
    <w:bookmarkEnd w:id="869"/>
    <w:bookmarkEnd w:id="870"/>
    <w:bookmarkEnd w:id="871"/>
    <w:bookmarkEnd w:id="872"/>
    <w:bookmarkEnd w:id="873"/>
    <w:p w14:paraId="4B37366E">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分包人主要施工管理人员表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E1A7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44BE02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5A1D9A4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1CE398A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7163A1A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14:paraId="52F7626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主要资历、经验及承担过的项目</w:t>
            </w:r>
          </w:p>
        </w:tc>
      </w:tr>
      <w:tr w14:paraId="67677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914B26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一、总部人员</w:t>
            </w:r>
          </w:p>
        </w:tc>
      </w:tr>
      <w:tr w14:paraId="08CF3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6F46B8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项目主管</w:t>
            </w:r>
          </w:p>
        </w:tc>
        <w:tc>
          <w:tcPr>
            <w:tcW w:w="1418" w:type="dxa"/>
            <w:tcBorders>
              <w:top w:val="nil"/>
            </w:tcBorders>
            <w:noWrap w:val="0"/>
            <w:vAlign w:val="center"/>
          </w:tcPr>
          <w:p w14:paraId="75D0815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53388F8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top w:val="nil"/>
            </w:tcBorders>
            <w:noWrap w:val="0"/>
            <w:vAlign w:val="center"/>
          </w:tcPr>
          <w:p w14:paraId="7EDBD6B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tcBorders>
              <w:top w:val="nil"/>
            </w:tcBorders>
            <w:noWrap w:val="0"/>
            <w:vAlign w:val="center"/>
          </w:tcPr>
          <w:p w14:paraId="03ED403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39F6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B133A0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32BC7F6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4871E8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09C4C3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2C45751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C06F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654E54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30AB532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10A28D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6BD6BE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424D75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7445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7151E0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4DC0A2D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CF0746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8B997F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9A9042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2495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37CA26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二、现场人员</w:t>
            </w:r>
          </w:p>
        </w:tc>
      </w:tr>
      <w:tr w14:paraId="22324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E6735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项目经理</w:t>
            </w:r>
          </w:p>
        </w:tc>
        <w:tc>
          <w:tcPr>
            <w:tcW w:w="1418" w:type="dxa"/>
            <w:noWrap w:val="0"/>
            <w:vAlign w:val="center"/>
          </w:tcPr>
          <w:p w14:paraId="2D3B7B8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EBE6C1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5ED683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913DBC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4BB5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406E57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项目副经理</w:t>
            </w:r>
          </w:p>
        </w:tc>
        <w:tc>
          <w:tcPr>
            <w:tcW w:w="1418" w:type="dxa"/>
            <w:noWrap w:val="0"/>
            <w:vAlign w:val="center"/>
          </w:tcPr>
          <w:p w14:paraId="300B01A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99399C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916276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5C4652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1370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2A4B1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技术负责人</w:t>
            </w:r>
          </w:p>
        </w:tc>
        <w:tc>
          <w:tcPr>
            <w:tcW w:w="1418" w:type="dxa"/>
            <w:noWrap w:val="0"/>
            <w:vAlign w:val="center"/>
          </w:tcPr>
          <w:p w14:paraId="194CE2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E18A61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5C2D25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976835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81CA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30A3E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造价管理</w:t>
            </w:r>
          </w:p>
        </w:tc>
        <w:tc>
          <w:tcPr>
            <w:tcW w:w="1418" w:type="dxa"/>
            <w:noWrap w:val="0"/>
            <w:vAlign w:val="center"/>
          </w:tcPr>
          <w:p w14:paraId="4BECAEB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1E20D4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426BA4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39A08E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1546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343EB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质量管理</w:t>
            </w:r>
          </w:p>
        </w:tc>
        <w:tc>
          <w:tcPr>
            <w:tcW w:w="1418" w:type="dxa"/>
            <w:noWrap w:val="0"/>
            <w:vAlign w:val="center"/>
          </w:tcPr>
          <w:p w14:paraId="0D3C30E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7A1D08D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923403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CE1B81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28CD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AECCD6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材料管理</w:t>
            </w:r>
          </w:p>
        </w:tc>
        <w:tc>
          <w:tcPr>
            <w:tcW w:w="1418" w:type="dxa"/>
            <w:noWrap w:val="0"/>
            <w:vAlign w:val="center"/>
          </w:tcPr>
          <w:p w14:paraId="3A79674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1E281D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B15696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57BAC0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5DF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CD113D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计划管理</w:t>
            </w:r>
          </w:p>
        </w:tc>
        <w:tc>
          <w:tcPr>
            <w:tcW w:w="1418" w:type="dxa"/>
            <w:noWrap w:val="0"/>
            <w:vAlign w:val="center"/>
          </w:tcPr>
          <w:p w14:paraId="72B4836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DDF5A9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F5AE29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7F4F3D9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8F5A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619796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安全管理</w:t>
            </w:r>
          </w:p>
        </w:tc>
        <w:tc>
          <w:tcPr>
            <w:tcW w:w="1418" w:type="dxa"/>
            <w:noWrap w:val="0"/>
            <w:vAlign w:val="center"/>
          </w:tcPr>
          <w:p w14:paraId="31E8DB0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00EE5EC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6D9B15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07001E9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5060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C87D31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其他人员</w:t>
            </w:r>
          </w:p>
        </w:tc>
        <w:tc>
          <w:tcPr>
            <w:tcW w:w="1418" w:type="dxa"/>
            <w:noWrap w:val="0"/>
            <w:vAlign w:val="center"/>
          </w:tcPr>
          <w:p w14:paraId="438F6D6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50FBF7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5543EB5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5C89CCC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38AB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B7F1CC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bottom w:val="nil"/>
            </w:tcBorders>
            <w:noWrap w:val="0"/>
            <w:vAlign w:val="center"/>
          </w:tcPr>
          <w:p w14:paraId="4B40224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7CCB4E5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nil"/>
            </w:tcBorders>
            <w:noWrap w:val="0"/>
            <w:vAlign w:val="center"/>
          </w:tcPr>
          <w:p w14:paraId="2E787AC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tcBorders>
              <w:bottom w:val="nil"/>
            </w:tcBorders>
            <w:noWrap w:val="0"/>
            <w:vAlign w:val="center"/>
          </w:tcPr>
          <w:p w14:paraId="0552355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B852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FB9D2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0C848D3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36F89B5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1ECBAB9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4FD0D7B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3627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61F928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5B8B9A6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23FFB57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CA35E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1591F8A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C430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73CA38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center"/>
          </w:tcPr>
          <w:p w14:paraId="6B6CA19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4BE12A0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noWrap w:val="0"/>
            <w:vAlign w:val="center"/>
          </w:tcPr>
          <w:p w14:paraId="6D45E35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noWrap w:val="0"/>
            <w:vAlign w:val="center"/>
          </w:tcPr>
          <w:p w14:paraId="698E6D4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1299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87DEE3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bottom w:val="single" w:color="auto" w:sz="12" w:space="0"/>
            </w:tcBorders>
            <w:noWrap w:val="0"/>
            <w:vAlign w:val="center"/>
          </w:tcPr>
          <w:p w14:paraId="460F116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45FEC49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134" w:type="dxa"/>
            <w:tcBorders>
              <w:bottom w:val="single" w:color="auto" w:sz="12" w:space="0"/>
            </w:tcBorders>
            <w:noWrap w:val="0"/>
            <w:vAlign w:val="center"/>
          </w:tcPr>
          <w:p w14:paraId="180EA5F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252" w:type="dxa"/>
            <w:tcBorders>
              <w:bottom w:val="single" w:color="auto" w:sz="12" w:space="0"/>
            </w:tcBorders>
            <w:noWrap w:val="0"/>
            <w:vAlign w:val="center"/>
          </w:tcPr>
          <w:p w14:paraId="45CC9F7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bl>
    <w:p w14:paraId="452C33F1">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bookmarkStart w:id="874" w:name="_Toc267261701"/>
      <w:r>
        <w:rPr>
          <w:rFonts w:hint="eastAsia" w:ascii="宋体" w:hAnsi="宋体" w:eastAsia="宋体" w:cs="宋体"/>
          <w:color w:val="000000"/>
          <w:sz w:val="21"/>
          <w:szCs w:val="21"/>
          <w:highlight w:val="none"/>
        </w:rPr>
        <w:t>附</w:t>
      </w:r>
      <w:bookmarkStart w:id="875" w:name="_Toc296891271"/>
      <w:bookmarkStart w:id="876" w:name="_Toc296346732"/>
      <w:bookmarkStart w:id="877" w:name="_Toc296891059"/>
      <w:bookmarkStart w:id="878" w:name="_Toc296347230"/>
      <w:bookmarkStart w:id="879" w:name="_Toc296944570"/>
      <w:bookmarkStart w:id="880" w:name="_Toc296503231"/>
      <w:r>
        <w:rPr>
          <w:rFonts w:hint="eastAsia" w:ascii="宋体" w:hAnsi="宋体" w:eastAsia="宋体" w:cs="宋体"/>
          <w:color w:val="000000"/>
          <w:sz w:val="21"/>
          <w:szCs w:val="21"/>
          <w:highlight w:val="none"/>
        </w:rPr>
        <w:t>件8：</w:t>
      </w:r>
    </w:p>
    <w:bookmarkEnd w:id="874"/>
    <w:bookmarkEnd w:id="875"/>
    <w:bookmarkEnd w:id="876"/>
    <w:bookmarkEnd w:id="877"/>
    <w:bookmarkEnd w:id="878"/>
    <w:bookmarkEnd w:id="879"/>
    <w:bookmarkEnd w:id="880"/>
    <w:p w14:paraId="5EB933EF">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履约担保</w:t>
      </w:r>
    </w:p>
    <w:p w14:paraId="68963B80">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（发包人名称）：</w:t>
      </w:r>
    </w:p>
    <w:p w14:paraId="6D120E91">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0DB8CFE3">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鉴于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（发包人名称，以下简称“发包人”）与</w:t>
      </w:r>
    </w:p>
    <w:p w14:paraId="67EC86E9">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（承包人名称）（以下称“承包人”）于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0488C4DB">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担保金额人民币（大写）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9E67192">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担保有效期自你方与承包人签订的合同生效之日起至你方签发或应签发工程接收证书之日止。</w:t>
      </w:r>
    </w:p>
    <w:p w14:paraId="045754A3">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在本担保有效期内，因承包人违反合同约定的义务给你方造成经济损失时，我方在收到你方以书面形式提出的在担保金额内的赔偿要求后，在7天内无条件支付。</w:t>
      </w:r>
    </w:p>
    <w:p w14:paraId="70C74425">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你方和承包人按合同约定变更合同时，我方承担本担保规定的义务不变。</w:t>
      </w:r>
    </w:p>
    <w:p w14:paraId="3F5B6AE0">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因本保函发生的纠纷，可由双方协商解决，协商不成的，任何一方均可提请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仲裁委员会仲裁。</w:t>
      </w:r>
    </w:p>
    <w:p w14:paraId="6C4C4A5A">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 本保函自我方法定代表人（或其授权代理人）签字并加盖公章之日起生效。</w:t>
      </w:r>
    </w:p>
    <w:p w14:paraId="11916645">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p>
    <w:p w14:paraId="1CC86E95">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 保 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（盖单位章）</w:t>
      </w:r>
    </w:p>
    <w:p w14:paraId="73C7CF9C">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1AEBC2FE">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w:t>
      </w:r>
    </w:p>
    <w:p w14:paraId="1A99E4EC">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w:t>
      </w:r>
    </w:p>
    <w:p w14:paraId="32851AA9">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14:paraId="47C0552A">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p>
    <w:p w14:paraId="04052061">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u w:val="single"/>
        </w:rPr>
      </w:pPr>
    </w:p>
    <w:p w14:paraId="148D396E">
      <w:pPr>
        <w:pageBreakBefore w:val="0"/>
        <w:widowControl w:val="0"/>
        <w:kinsoku/>
        <w:wordWrap/>
        <w:overflowPunct/>
        <w:topLinePunct w:val="0"/>
        <w:bidi w:val="0"/>
        <w:snapToGrid/>
        <w:spacing w:line="360" w:lineRule="auto"/>
        <w:ind w:left="1899" w:hanging="1329" w:hangingChars="63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138A7F10">
      <w:pPr>
        <w:pageBreakBefore w:val="0"/>
        <w:widowControl w:val="0"/>
        <w:kinsoku/>
        <w:wordWrap/>
        <w:overflowPunct/>
        <w:topLinePunct w:val="0"/>
        <w:bidi w:val="0"/>
        <w:snapToGrid/>
        <w:spacing w:line="360" w:lineRule="auto"/>
        <w:ind w:left="1899" w:hanging="1329" w:hangingChars="633"/>
        <w:outlineLvl w:val="9"/>
        <w:rPr>
          <w:rFonts w:hint="eastAsia" w:ascii="宋体" w:hAnsi="宋体" w:eastAsia="宋体" w:cs="宋体"/>
          <w:color w:val="000000"/>
          <w:sz w:val="21"/>
          <w:szCs w:val="21"/>
          <w:highlight w:val="none"/>
        </w:rPr>
      </w:pPr>
    </w:p>
    <w:p w14:paraId="40CD5701">
      <w:pPr>
        <w:pageBreakBefore w:val="0"/>
        <w:widowControl w:val="0"/>
        <w:kinsoku/>
        <w:wordWrap/>
        <w:overflowPunct/>
        <w:topLinePunct w:val="0"/>
        <w:bidi w:val="0"/>
        <w:snapToGrid/>
        <w:spacing w:line="360" w:lineRule="auto"/>
        <w:ind w:left="1899" w:hanging="1329" w:hangingChars="633"/>
        <w:outlineLvl w:val="9"/>
        <w:rPr>
          <w:rFonts w:hint="eastAsia" w:ascii="宋体" w:hAnsi="宋体" w:eastAsia="宋体" w:cs="宋体"/>
          <w:color w:val="000000"/>
          <w:sz w:val="21"/>
          <w:szCs w:val="21"/>
          <w:highlight w:val="none"/>
        </w:rPr>
      </w:pPr>
    </w:p>
    <w:p w14:paraId="415DA988">
      <w:pPr>
        <w:pageBreakBefore w:val="0"/>
        <w:widowControl w:val="0"/>
        <w:kinsoku/>
        <w:wordWrap/>
        <w:overflowPunct/>
        <w:topLinePunct w:val="0"/>
        <w:bidi w:val="0"/>
        <w:snapToGrid/>
        <w:spacing w:line="360" w:lineRule="auto"/>
        <w:ind w:left="1899" w:hanging="1329" w:hangingChars="63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881" w:name="_Toc296944571"/>
      <w:bookmarkStart w:id="882" w:name="_Toc267261702"/>
      <w:bookmarkStart w:id="883" w:name="_Toc296347231"/>
      <w:bookmarkStart w:id="884" w:name="_Toc296346733"/>
      <w:bookmarkStart w:id="885" w:name="_Toc296891272"/>
      <w:bookmarkStart w:id="886" w:name="_Toc296891060"/>
      <w:bookmarkStart w:id="887" w:name="_Toc296503232"/>
      <w:r>
        <w:rPr>
          <w:rFonts w:hint="eastAsia" w:ascii="宋体" w:hAnsi="宋体" w:eastAsia="宋体" w:cs="宋体"/>
          <w:color w:val="000000"/>
          <w:sz w:val="21"/>
          <w:szCs w:val="21"/>
          <w:highlight w:val="none"/>
        </w:rPr>
        <w:t>件9 ：</w:t>
      </w:r>
    </w:p>
    <w:bookmarkEnd w:id="881"/>
    <w:bookmarkEnd w:id="882"/>
    <w:bookmarkEnd w:id="883"/>
    <w:bookmarkEnd w:id="884"/>
    <w:bookmarkEnd w:id="885"/>
    <w:bookmarkEnd w:id="886"/>
    <w:bookmarkEnd w:id="887"/>
    <w:p w14:paraId="497CD539">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w:t>
      </w:r>
    </w:p>
    <w:p w14:paraId="01C9529C">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（发包人名称）：</w:t>
      </w:r>
    </w:p>
    <w:p w14:paraId="0F68A72F">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p>
    <w:p w14:paraId="317A7284">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（承包人名称）（以下称“承包人”）与</w:t>
      </w:r>
    </w:p>
    <w:p w14:paraId="6BA33A8F">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（发包人名称）（以下简称“发包人”）</w:t>
      </w:r>
    </w:p>
    <w:p w14:paraId="11759C97">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日签订的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F0B5573">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担保金额人民币（大写）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A8185CC">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担保有效期自预付款支付给承包人起生效，至你方签发的进度款支付证书说明已完全扣清止。</w:t>
      </w:r>
    </w:p>
    <w:p w14:paraId="61406732">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5CCF9B2">
      <w:pPr>
        <w:pageBreakBefore w:val="0"/>
        <w:widowControl w:val="0"/>
        <w:kinsoku/>
        <w:wordWrap/>
        <w:overflowPunct/>
        <w:topLinePunct w:val="0"/>
        <w:bidi w:val="0"/>
        <w:snapToGrid/>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你方和承包人按合同约定变更合同时，我方承担本保函规定的义务不变。</w:t>
      </w:r>
    </w:p>
    <w:p w14:paraId="31F73355">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因本保函发生的纠纷，可由双方协商解决，协商不成的，任何一方均可提请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仲裁委员会仲裁。</w:t>
      </w:r>
    </w:p>
    <w:p w14:paraId="3F6B1BAB">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 本保函自我方法定代表人（或其授权代理人）签字并加盖公章之日起生效。</w:t>
      </w:r>
    </w:p>
    <w:p w14:paraId="53AD9488">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p>
    <w:p w14:paraId="292FCCC8">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p>
    <w:p w14:paraId="09DB3E37">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担保人：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（盖单位章）</w:t>
      </w:r>
    </w:p>
    <w:p w14:paraId="420153D5">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70A2B69">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635F1D66">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5608454A">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656F35BF">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p>
    <w:p w14:paraId="4FC2F3D0">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u w:val="single"/>
        </w:rPr>
      </w:pPr>
    </w:p>
    <w:p w14:paraId="3A531DBF">
      <w:pPr>
        <w:pageBreakBefore w:val="0"/>
        <w:widowControl w:val="0"/>
        <w:kinsoku/>
        <w:wordWrap/>
        <w:overflowPunct/>
        <w:topLinePunct w:val="0"/>
        <w:bidi w:val="0"/>
        <w:snapToGrid/>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58CE1D08">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color w:val="000000"/>
          <w:sz w:val="21"/>
          <w:szCs w:val="21"/>
          <w:highlight w:val="none"/>
        </w:rPr>
        <w:t>附</w:t>
      </w:r>
      <w:bookmarkStart w:id="888" w:name="_Toc296944572"/>
      <w:bookmarkStart w:id="889" w:name="_Toc296346734"/>
      <w:bookmarkStart w:id="890" w:name="_Toc296891061"/>
      <w:bookmarkStart w:id="891" w:name="_Toc296891273"/>
      <w:bookmarkStart w:id="892" w:name="_Toc296347232"/>
      <w:bookmarkStart w:id="893" w:name="_Toc296503233"/>
      <w:r>
        <w:rPr>
          <w:rFonts w:hint="eastAsia" w:ascii="宋体" w:hAnsi="宋体" w:eastAsia="宋体" w:cs="宋体"/>
          <w:color w:val="000000"/>
          <w:sz w:val="21"/>
          <w:szCs w:val="21"/>
          <w:highlight w:val="none"/>
        </w:rPr>
        <w:t xml:space="preserve">件10:  </w:t>
      </w:r>
    </w:p>
    <w:bookmarkEnd w:id="888"/>
    <w:bookmarkEnd w:id="889"/>
    <w:bookmarkEnd w:id="890"/>
    <w:bookmarkEnd w:id="891"/>
    <w:bookmarkEnd w:id="892"/>
    <w:bookmarkEnd w:id="893"/>
    <w:p w14:paraId="3865272F">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支付担保</w:t>
      </w:r>
    </w:p>
    <w:p w14:paraId="70D29DD7">
      <w:pPr>
        <w:pageBreakBefore w:val="0"/>
        <w:widowControl w:val="0"/>
        <w:kinsoku/>
        <w:wordWrap/>
        <w:overflowPunct/>
        <w:topLinePunct w:val="0"/>
        <w:bidi w:val="0"/>
        <w:snapToGrid/>
        <w:spacing w:line="440" w:lineRule="exact"/>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（承包人）：</w:t>
      </w:r>
    </w:p>
    <w:p w14:paraId="6E11E8F7">
      <w:pPr>
        <w:pageBreakBefore w:val="0"/>
        <w:widowControl w:val="0"/>
        <w:kinsoku/>
        <w:wordWrap/>
        <w:overflowPunct/>
        <w:topLinePunct w:val="0"/>
        <w:bidi w:val="0"/>
        <w:snapToGrid/>
        <w:spacing w:line="440" w:lineRule="exact"/>
        <w:jc w:val="left"/>
        <w:outlineLvl w:val="9"/>
        <w:rPr>
          <w:rFonts w:hint="eastAsia" w:ascii="宋体" w:hAnsi="宋体" w:eastAsia="宋体" w:cs="宋体"/>
          <w:color w:val="000000"/>
          <w:sz w:val="21"/>
          <w:szCs w:val="21"/>
          <w:highlight w:val="none"/>
        </w:rPr>
      </w:pPr>
    </w:p>
    <w:p w14:paraId="7C8CB0C1">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鉴于你方作为承包人已经与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（发包人名称）（以下称“发包人”）于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日签订了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（工程名称）《建设工程施工合同》（以下称“主合同”），应发包人的申请，我方愿就发包人履行主合同约定的工程款支付义务以保证的方式向你方提供如下担保：</w:t>
      </w:r>
    </w:p>
    <w:p w14:paraId="55EEC152">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一、保证的范围及保证金额</w:t>
      </w:r>
    </w:p>
    <w:p w14:paraId="06FFB8D2">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我方的保证范围是主合同约定的工程款。</w:t>
      </w:r>
    </w:p>
    <w:p w14:paraId="32DE75C5">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本保函所称主合同约定的工程款是指主合同约定的除工程质量保证金以外的合同价款。</w:t>
      </w:r>
    </w:p>
    <w:p w14:paraId="6A73ADDC">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我方保证的金额是主合同约定的工程款的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%，数额最高不超过人民币元（大写：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4511E3E">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二、保证的方式及保证期间</w:t>
      </w:r>
    </w:p>
    <w:p w14:paraId="6C731B63">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我方保证的方式为：连带责任保证。</w:t>
      </w:r>
    </w:p>
    <w:p w14:paraId="1BBA4ED2">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我方保证的期间为：自本合同生效之日起至主合同约定的工程款支付完毕之日后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日内。</w:t>
      </w:r>
    </w:p>
    <w:p w14:paraId="791DD189">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你方与发包人协议变更工程款支付日期的，经我方书面同意后，保证期间按照变更后的支付日期做相应调整。</w:t>
      </w:r>
    </w:p>
    <w:p w14:paraId="7790F385">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三、承担保证责任的形式</w:t>
      </w:r>
    </w:p>
    <w:p w14:paraId="4603FF9F">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我方承担保证责任的形式是代为支付。发包人未按主合同约定向你方支付工程款的，由我方在保证金额内代为支付。</w:t>
      </w:r>
    </w:p>
    <w:p w14:paraId="218D5A3B">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四、代偿的安排</w:t>
      </w:r>
    </w:p>
    <w:p w14:paraId="63CC5FE1">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3233F036">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67F8E3A">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我方收到你方的书面索赔通知及相应的证明材料后７天内无条件支付。</w:t>
      </w:r>
    </w:p>
    <w:p w14:paraId="4BBCF229">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五、保证责任的解除</w:t>
      </w:r>
    </w:p>
    <w:p w14:paraId="117403CA">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在本保函承诺的保证期间内，你方未书面向我方主张保证责任的，自保证期间届满次日起，我方保证责任解除。</w:t>
      </w:r>
    </w:p>
    <w:p w14:paraId="6B361347">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发包人按主合同约定履行了工程款的全部支付义务的，自本保函承诺的保证期间届满次日起，我方保证责任解除。</w:t>
      </w:r>
    </w:p>
    <w:p w14:paraId="2AB15626">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我方按照本保函向你方履行保证责任所支付金额达到本保函保证金额时，自我方向你方支付（支付款项从我方账户划出）之日起，保证责任即解除。</w:t>
      </w:r>
    </w:p>
    <w:p w14:paraId="6F2E8AEB">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按照法律法规的规定或出现应解除我方保证责任的其他情形的，我方在本保函项下的保证责任亦解除。</w:t>
      </w:r>
    </w:p>
    <w:p w14:paraId="0A224EFB">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p>
    <w:p w14:paraId="197D634F">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我方解除保证责任后，你方应自我方保证责任解除之日起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个工作日内，将本保函原件返还我方。</w:t>
      </w:r>
    </w:p>
    <w:p w14:paraId="589A1C12">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六、免责条款</w:t>
      </w:r>
    </w:p>
    <w:p w14:paraId="4847557F">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因你方违约致使发包人不能履行义务的，我方不承担保证责任。</w:t>
      </w:r>
    </w:p>
    <w:p w14:paraId="314082E7">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依照法律法规的规定或你方与发包人的另行约定，免除发包人部分或全部义务的，我方亦免除其相应的保证责任。</w:t>
      </w:r>
    </w:p>
    <w:p w14:paraId="3081E8EF">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4B27856">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因不可抗力造成发包人不能履行义务的，我方不承担保证责任。</w:t>
      </w:r>
    </w:p>
    <w:p w14:paraId="4995A145">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七、争议解决</w:t>
      </w:r>
    </w:p>
    <w:p w14:paraId="3FBC89DB">
      <w:pPr>
        <w:pageBreakBefore w:val="0"/>
        <w:widowControl w:val="0"/>
        <w:kinsoku/>
        <w:wordWrap/>
        <w:overflowPunct/>
        <w:topLinePunct w:val="0"/>
        <w:bidi w:val="0"/>
        <w:snapToGrid/>
        <w:spacing w:after="120"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因本保函或本保函相关事项发生的纠纷，可由双方协商解决，协商不成的，按下列第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种方式解决：</w:t>
      </w:r>
    </w:p>
    <w:p w14:paraId="52414768">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仲裁委员会申请仲裁；</w:t>
      </w:r>
    </w:p>
    <w:p w14:paraId="69055DB8">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人民法院起诉。</w:t>
      </w:r>
    </w:p>
    <w:p w14:paraId="4545B6B6">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八、保函的生效</w:t>
      </w:r>
    </w:p>
    <w:p w14:paraId="0D046775">
      <w:pPr>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本保函自我方法定代表人（或其授权代理人）签字并加盖公章之日起生效。</w:t>
      </w:r>
    </w:p>
    <w:p w14:paraId="38E70A7A">
      <w:pPr>
        <w:pageBreakBefore w:val="0"/>
        <w:widowControl w:val="0"/>
        <w:kinsoku/>
        <w:wordWrap/>
        <w:overflowPunct/>
        <w:topLinePunct w:val="0"/>
        <w:bidi w:val="0"/>
        <w:snapToGrid/>
        <w:spacing w:line="360" w:lineRule="auto"/>
        <w:ind w:right="6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担保人：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（盖章）</w:t>
      </w:r>
    </w:p>
    <w:p w14:paraId="389612C2">
      <w:pPr>
        <w:pageBreakBefore w:val="0"/>
        <w:widowControl w:val="0"/>
        <w:kinsoku/>
        <w:wordWrap/>
        <w:overflowPunct/>
        <w:topLinePunct w:val="0"/>
        <w:bidi w:val="0"/>
        <w:snapToGrid/>
        <w:spacing w:line="360" w:lineRule="auto"/>
        <w:ind w:right="1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0E9F996">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w:t>
      </w:r>
    </w:p>
    <w:p w14:paraId="12DEF147">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w:t>
      </w:r>
    </w:p>
    <w:p w14:paraId="0F75BF06">
      <w:pPr>
        <w:pageBreakBefore w:val="0"/>
        <w:widowControl w:val="0"/>
        <w:kinsoku/>
        <w:wordWrap/>
        <w:overflowPunct/>
        <w:topLinePunct w:val="0"/>
        <w:bidi w:val="0"/>
        <w:snapToGrid/>
        <w:spacing w:line="360" w:lineRule="auto"/>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p>
    <w:p w14:paraId="5A7DF1AA">
      <w:pPr>
        <w:pageBreakBefore w:val="0"/>
        <w:widowControl w:val="0"/>
        <w:kinsoku/>
        <w:wordWrap/>
        <w:overflowPunct/>
        <w:topLinePunct w:val="0"/>
        <w:bidi w:val="0"/>
        <w:snapToGrid/>
        <w:spacing w:line="360" w:lineRule="auto"/>
        <w:ind w:right="150" w:firstLine="420" w:firstLineChars="200"/>
        <w:jc w:val="left"/>
        <w:outlineLvl w:val="9"/>
        <w:rPr>
          <w:rFonts w:hint="eastAsia" w:ascii="宋体" w:hAnsi="宋体" w:eastAsia="宋体" w:cs="宋体"/>
          <w:color w:val="000000"/>
          <w:sz w:val="21"/>
          <w:szCs w:val="21"/>
          <w:highlight w:val="none"/>
          <w:u w:val="single"/>
        </w:rPr>
      </w:pPr>
    </w:p>
    <w:p w14:paraId="6A2D2DF2">
      <w:pPr>
        <w:pageBreakBefore w:val="0"/>
        <w:widowControl w:val="0"/>
        <w:kinsoku/>
        <w:wordWrap/>
        <w:overflowPunct/>
        <w:topLinePunct w:val="0"/>
        <w:bidi w:val="0"/>
        <w:snapToGrid/>
        <w:spacing w:line="360" w:lineRule="auto"/>
        <w:ind w:right="150"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0571E8E2">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附件11：</w:t>
      </w:r>
    </w:p>
    <w:p w14:paraId="46CBABD2">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11-1：材料暂估价表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195B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5D28A6F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7276C59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14:paraId="3A26274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14:paraId="5E33011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14:paraId="537CBE0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14:paraId="73D58DA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14:paraId="32566B5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3891F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63FECE6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14:paraId="6B3045E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top"/>
          </w:tcPr>
          <w:p w14:paraId="2F14AA8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tcBorders>
              <w:top w:val="double" w:color="auto" w:sz="6" w:space="0"/>
              <w:bottom w:val="single" w:color="auto" w:sz="6" w:space="0"/>
            </w:tcBorders>
            <w:noWrap w:val="0"/>
            <w:vAlign w:val="top"/>
          </w:tcPr>
          <w:p w14:paraId="20C5571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tcBorders>
              <w:top w:val="double" w:color="auto" w:sz="6" w:space="0"/>
              <w:bottom w:val="single" w:color="auto" w:sz="6" w:space="0"/>
            </w:tcBorders>
            <w:noWrap w:val="0"/>
            <w:vAlign w:val="top"/>
          </w:tcPr>
          <w:p w14:paraId="361C99D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top"/>
          </w:tcPr>
          <w:p w14:paraId="7D82A49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tcBorders>
              <w:top w:val="double" w:color="auto" w:sz="6" w:space="0"/>
              <w:bottom w:val="single" w:color="auto" w:sz="6" w:space="0"/>
            </w:tcBorders>
            <w:noWrap w:val="0"/>
            <w:vAlign w:val="top"/>
          </w:tcPr>
          <w:p w14:paraId="39E5177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77CC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19F7B85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tcBorders>
              <w:top w:val="nil"/>
            </w:tcBorders>
            <w:noWrap w:val="0"/>
            <w:vAlign w:val="top"/>
          </w:tcPr>
          <w:p w14:paraId="154B397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top"/>
          </w:tcPr>
          <w:p w14:paraId="5CC5A17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tcBorders>
              <w:top w:val="nil"/>
            </w:tcBorders>
            <w:noWrap w:val="0"/>
            <w:vAlign w:val="top"/>
          </w:tcPr>
          <w:p w14:paraId="529C7FA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tcBorders>
              <w:top w:val="nil"/>
            </w:tcBorders>
            <w:noWrap w:val="0"/>
            <w:vAlign w:val="top"/>
          </w:tcPr>
          <w:p w14:paraId="7F2A3D2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top"/>
          </w:tcPr>
          <w:p w14:paraId="734D9F6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tcBorders>
              <w:top w:val="nil"/>
            </w:tcBorders>
            <w:noWrap w:val="0"/>
            <w:vAlign w:val="top"/>
          </w:tcPr>
          <w:p w14:paraId="41C4494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D107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459570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F27088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27C8E45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619D2BE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ADEBB2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D90F5E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6E4FF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68C9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58CE83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A6A37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AC8C15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299DC8E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002756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5D54BA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3EDC7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C649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400E31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74671D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3B67578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8EFE2D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5240D5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AB9CE9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548B9D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1CE6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4C289D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41CAC6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77461FC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7F8B37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9F9569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AD40F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5A44D3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9C54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ACBE9B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6F3248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33E3D70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17BF9A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271A37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60C030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761C38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EEC2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70760F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6CF970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242B276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4BDF89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952EA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64F492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3472C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91AE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1F82E2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1A0191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3C86AB4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24C9563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84406C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D29A86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2F19D1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2666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5B151E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901AB3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173B1F4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A35D59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59A457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C35BE7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B8ED4E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B792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C72DEC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40E4D2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54CF35F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3771C3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B2203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0A4DA6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9C4ECB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BBAD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6F9105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7422C7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16140EB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072D10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9D9917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451E33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5AA44E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6C5A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47BA44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717751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6DF3C4E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298421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F3DED5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29EA59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9205F2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7E20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FFF5AB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71BFB8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57EB8EB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643D007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FE3010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6E08A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B624B8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286D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C6A19D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6C76D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D6792A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66B6F99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438FB6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0E68AD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B7B83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F5EE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52778E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FD5443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1615D65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9D505C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0B7B04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34933E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3E55729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265C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8E30DE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D67FA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3AD7CB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E7445F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70E6DA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C88CDF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0E4AA5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E17B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44FE6E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5CC526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07D616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32DB1E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0EA53A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505868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4534E5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136C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485D9F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54C1C5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11CAD42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60E145B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8E8ACE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98EE97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182454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2498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6D4864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F46901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5735E4C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2367F6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7BA1E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E939E0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944C4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F731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ECA174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B0D360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C8EDBE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C1F5ED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CC173E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CC46CC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5D2D45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0C19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6D1495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F21B2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51F6732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27596D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EB98B7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DD85AC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054BF7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CF11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5FBD8A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183852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D16E2A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5B2E30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5D3AEC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A259D4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3631A8B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78D1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E1CCA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02845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7256841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32515F9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A07A0E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EA609E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80B11E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3219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FA2D34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3302A1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35DB0A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67ACB81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FAD4B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C05D80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A3CD76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bl>
    <w:p w14:paraId="61288A37">
      <w:pPr>
        <w:pageBreakBefore w:val="0"/>
        <w:widowControl w:val="0"/>
        <w:kinsoku/>
        <w:wordWrap/>
        <w:overflowPunct/>
        <w:topLinePunct w:val="0"/>
        <w:bidi w:val="0"/>
        <w:snapToGrid/>
        <w:spacing w:before="156" w:beforeLines="50" w:after="156" w:afterLines="50" w:line="440" w:lineRule="exact"/>
        <w:outlineLvl w:val="9"/>
        <w:rPr>
          <w:rFonts w:hint="eastAsia" w:ascii="宋体" w:hAnsi="宋体" w:eastAsia="宋体" w:cs="宋体"/>
          <w:color w:val="000000"/>
          <w:sz w:val="21"/>
          <w:szCs w:val="21"/>
          <w:highlight w:val="none"/>
        </w:rPr>
      </w:pPr>
    </w:p>
    <w:p w14:paraId="7E84D067">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11-2：工程设备暂估价表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1917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4BCB65E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0D59AC9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14:paraId="7715B33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14:paraId="0A88C4A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14:paraId="7AAC1C2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14:paraId="20141CD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14:paraId="7538F88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备注</w:t>
            </w:r>
          </w:p>
        </w:tc>
      </w:tr>
      <w:tr w14:paraId="6B310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7DA7FD4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14:paraId="57FBBE3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top"/>
          </w:tcPr>
          <w:p w14:paraId="30E50E3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tcBorders>
              <w:top w:val="double" w:color="auto" w:sz="6" w:space="0"/>
              <w:bottom w:val="single" w:color="auto" w:sz="6" w:space="0"/>
            </w:tcBorders>
            <w:noWrap w:val="0"/>
            <w:vAlign w:val="top"/>
          </w:tcPr>
          <w:p w14:paraId="4B94D34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tcBorders>
              <w:top w:val="double" w:color="auto" w:sz="6" w:space="0"/>
              <w:bottom w:val="single" w:color="auto" w:sz="6" w:space="0"/>
            </w:tcBorders>
            <w:noWrap w:val="0"/>
            <w:vAlign w:val="top"/>
          </w:tcPr>
          <w:p w14:paraId="3634EC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top"/>
          </w:tcPr>
          <w:p w14:paraId="6F99375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tcBorders>
              <w:top w:val="double" w:color="auto" w:sz="6" w:space="0"/>
              <w:bottom w:val="single" w:color="auto" w:sz="6" w:space="0"/>
            </w:tcBorders>
            <w:noWrap w:val="0"/>
            <w:vAlign w:val="top"/>
          </w:tcPr>
          <w:p w14:paraId="1C08EF6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C587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64D36D4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tcBorders>
              <w:top w:val="nil"/>
            </w:tcBorders>
            <w:noWrap w:val="0"/>
            <w:vAlign w:val="top"/>
          </w:tcPr>
          <w:p w14:paraId="4C8A90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tcBorders>
              <w:top w:val="nil"/>
            </w:tcBorders>
            <w:noWrap w:val="0"/>
            <w:vAlign w:val="top"/>
          </w:tcPr>
          <w:p w14:paraId="11CE98B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tcBorders>
              <w:top w:val="nil"/>
            </w:tcBorders>
            <w:noWrap w:val="0"/>
            <w:vAlign w:val="top"/>
          </w:tcPr>
          <w:p w14:paraId="4827EC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tcBorders>
              <w:top w:val="nil"/>
            </w:tcBorders>
            <w:noWrap w:val="0"/>
            <w:vAlign w:val="top"/>
          </w:tcPr>
          <w:p w14:paraId="0FFD9F2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tcBorders>
              <w:top w:val="nil"/>
            </w:tcBorders>
            <w:noWrap w:val="0"/>
            <w:vAlign w:val="top"/>
          </w:tcPr>
          <w:p w14:paraId="019BFE3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tcBorders>
              <w:top w:val="nil"/>
            </w:tcBorders>
            <w:noWrap w:val="0"/>
            <w:vAlign w:val="top"/>
          </w:tcPr>
          <w:p w14:paraId="575C96D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C646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815D9E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4A8128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D725D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0960B7E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23255F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6DEE1C4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EB8D2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A4FB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3D6B5E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2AC182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625CAD3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39D5641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2A16FF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E94332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B5328D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9BCC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6A9A35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87F3AE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2F3FA9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0707F6F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453D19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2BD07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DCEEB7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2989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18AB9D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831F82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21A97A1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B5A4F8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28E01B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BC5694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275ED9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FD53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14E35C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5D1671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4CF2A0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0DB27F2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41B731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044DF0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61BA40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325A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EA771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3D769FA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9E69CC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2348B4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F6D38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E9F848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2BDCEFF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85A0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9E8ADE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C89B30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DBCFD6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35C5AE0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F8703F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59E05B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58F904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0E6F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99082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92B91A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6DC50BE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3A363B1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0820E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2393C3E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AA5931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2236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47C668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BCDCA6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79D6A38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7E3709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24CE31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D2BF74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8EC37D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902F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A1F199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F4BEB7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739D724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9B0335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2339CE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04C29A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3442BB8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F57A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0C6EF8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7E9704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596347A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587116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4CE105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4A1C9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B8C49C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1CFB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EF0D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94BDD6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C2214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819D35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9E545E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76116E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1BD61F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68E4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24D39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7EDC37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32CB575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05A353B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E238B0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ACA10D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1628C41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75AA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E67124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C76459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C39BB1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60C29D3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6B6A262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1CD488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29F4C1C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CDBF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9F514A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D539BB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34C5030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436684C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565E7F3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476555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3F7868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9155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56F53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14ED408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CA2A6A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0E8C117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F4545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5E57A3D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1C45A5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AE18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BEB310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CE287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44179FE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697700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3ECD94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0F4C1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237FB54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ECCA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C336E1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5717469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6E61E7D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36406F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789BC1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CC8A66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9BF391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0739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43F90D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CA23C7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6A8D253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58B7E5E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0A05055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414B7CD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08EC88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23C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2EF18C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29697EB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7249292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74B06F2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3DBB378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DA721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46ED0B6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03E4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6753F1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035A8E7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AD469C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109BB82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26D90D3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320B622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7CBE019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A123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91F57A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494553E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18231FE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08274ED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1C98EC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8F6748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FD85FF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166D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1D1971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84" w:type="dxa"/>
            <w:noWrap w:val="0"/>
            <w:vAlign w:val="top"/>
          </w:tcPr>
          <w:p w14:paraId="74F08F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851" w:type="dxa"/>
            <w:noWrap w:val="0"/>
            <w:vAlign w:val="top"/>
          </w:tcPr>
          <w:p w14:paraId="0E3A1E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774" w:type="dxa"/>
            <w:noWrap w:val="0"/>
            <w:vAlign w:val="top"/>
          </w:tcPr>
          <w:p w14:paraId="0A5246A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352" w:type="dxa"/>
            <w:noWrap w:val="0"/>
            <w:vAlign w:val="top"/>
          </w:tcPr>
          <w:p w14:paraId="4FD5680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418" w:type="dxa"/>
            <w:noWrap w:val="0"/>
            <w:vAlign w:val="top"/>
          </w:tcPr>
          <w:p w14:paraId="0EDC1EE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701" w:type="dxa"/>
            <w:noWrap w:val="0"/>
            <w:vAlign w:val="top"/>
          </w:tcPr>
          <w:p w14:paraId="6EF829F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bl>
    <w:p w14:paraId="190D2386">
      <w:pPr>
        <w:pageBreakBefore w:val="0"/>
        <w:widowControl w:val="0"/>
        <w:kinsoku/>
        <w:wordWrap/>
        <w:overflowPunct/>
        <w:topLinePunct w:val="0"/>
        <w:bidi w:val="0"/>
        <w:snapToGrid/>
        <w:spacing w:line="440" w:lineRule="exact"/>
        <w:outlineLvl w:val="9"/>
        <w:rPr>
          <w:rFonts w:hint="eastAsia" w:ascii="宋体" w:hAnsi="宋体" w:eastAsia="宋体" w:cs="宋体"/>
          <w:color w:val="000000"/>
          <w:sz w:val="21"/>
          <w:szCs w:val="21"/>
          <w:highlight w:val="none"/>
        </w:rPr>
      </w:pPr>
    </w:p>
    <w:p w14:paraId="249D73D0">
      <w:pPr>
        <w:pageBreakBefore w:val="0"/>
        <w:widowControl w:val="0"/>
        <w:kinsoku/>
        <w:wordWrap/>
        <w:overflowPunct/>
        <w:topLinePunct w:val="0"/>
        <w:bidi w:val="0"/>
        <w:snapToGrid/>
        <w:spacing w:before="156" w:beforeLines="50" w:after="156" w:afterLines="50"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11-3：专业工程暂估价表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5"/>
        <w:gridCol w:w="1998"/>
        <w:gridCol w:w="4712"/>
        <w:gridCol w:w="1285"/>
      </w:tblGrid>
      <w:tr w14:paraId="79A94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85" w:type="dxa"/>
            <w:tcBorders>
              <w:top w:val="single" w:color="auto" w:sz="12" w:space="0"/>
              <w:bottom w:val="double" w:color="auto" w:sz="6" w:space="0"/>
            </w:tcBorders>
            <w:noWrap w:val="0"/>
            <w:vAlign w:val="top"/>
          </w:tcPr>
          <w:p w14:paraId="3C0E710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序号</w:t>
            </w:r>
          </w:p>
        </w:tc>
        <w:tc>
          <w:tcPr>
            <w:tcW w:w="1998" w:type="dxa"/>
            <w:tcBorders>
              <w:top w:val="single" w:color="auto" w:sz="12" w:space="0"/>
              <w:bottom w:val="double" w:color="auto" w:sz="6" w:space="0"/>
            </w:tcBorders>
            <w:noWrap w:val="0"/>
            <w:vAlign w:val="top"/>
          </w:tcPr>
          <w:p w14:paraId="7A5A33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专业工程名称</w:t>
            </w:r>
          </w:p>
        </w:tc>
        <w:tc>
          <w:tcPr>
            <w:tcW w:w="4712" w:type="dxa"/>
            <w:tcBorders>
              <w:top w:val="single" w:color="auto" w:sz="12" w:space="0"/>
              <w:bottom w:val="double" w:color="auto" w:sz="6" w:space="0"/>
            </w:tcBorders>
            <w:noWrap w:val="0"/>
            <w:vAlign w:val="top"/>
          </w:tcPr>
          <w:p w14:paraId="1F1CEFD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工程内容</w:t>
            </w:r>
          </w:p>
        </w:tc>
        <w:tc>
          <w:tcPr>
            <w:tcW w:w="1285" w:type="dxa"/>
            <w:tcBorders>
              <w:top w:val="single" w:color="auto" w:sz="12" w:space="0"/>
              <w:bottom w:val="double" w:color="auto" w:sz="6" w:space="0"/>
            </w:tcBorders>
            <w:noWrap w:val="0"/>
            <w:vAlign w:val="top"/>
          </w:tcPr>
          <w:p w14:paraId="729F388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金额</w:t>
            </w:r>
          </w:p>
        </w:tc>
      </w:tr>
      <w:tr w14:paraId="54F7B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885" w:type="dxa"/>
            <w:tcBorders>
              <w:top w:val="double" w:color="auto" w:sz="6" w:space="0"/>
              <w:bottom w:val="single" w:color="auto" w:sz="6" w:space="0"/>
            </w:tcBorders>
            <w:noWrap w:val="0"/>
            <w:vAlign w:val="top"/>
          </w:tcPr>
          <w:p w14:paraId="76860ED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tcBorders>
              <w:top w:val="double" w:color="auto" w:sz="6" w:space="0"/>
              <w:bottom w:val="single" w:color="auto" w:sz="6" w:space="0"/>
            </w:tcBorders>
            <w:noWrap w:val="0"/>
            <w:vAlign w:val="top"/>
          </w:tcPr>
          <w:p w14:paraId="45AA496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tcBorders>
              <w:top w:val="double" w:color="auto" w:sz="6" w:space="0"/>
              <w:bottom w:val="single" w:color="auto" w:sz="6" w:space="0"/>
            </w:tcBorders>
            <w:noWrap w:val="0"/>
            <w:vAlign w:val="top"/>
          </w:tcPr>
          <w:p w14:paraId="21B9337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tcBorders>
              <w:top w:val="double" w:color="auto" w:sz="6" w:space="0"/>
              <w:bottom w:val="single" w:color="auto" w:sz="6" w:space="0"/>
            </w:tcBorders>
            <w:noWrap w:val="0"/>
            <w:vAlign w:val="top"/>
          </w:tcPr>
          <w:p w14:paraId="314E21C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F2F6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tcBorders>
              <w:top w:val="nil"/>
            </w:tcBorders>
            <w:noWrap w:val="0"/>
            <w:vAlign w:val="top"/>
          </w:tcPr>
          <w:p w14:paraId="6856E9E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tcBorders>
              <w:top w:val="nil"/>
            </w:tcBorders>
            <w:noWrap w:val="0"/>
            <w:vAlign w:val="top"/>
          </w:tcPr>
          <w:p w14:paraId="58F10A8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tcBorders>
              <w:top w:val="nil"/>
            </w:tcBorders>
            <w:noWrap w:val="0"/>
            <w:vAlign w:val="top"/>
          </w:tcPr>
          <w:p w14:paraId="52EB4B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tcBorders>
              <w:top w:val="nil"/>
            </w:tcBorders>
            <w:noWrap w:val="0"/>
            <w:vAlign w:val="top"/>
          </w:tcPr>
          <w:p w14:paraId="0FE0D75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9B0D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tcBorders>
              <w:top w:val="nil"/>
            </w:tcBorders>
            <w:noWrap w:val="0"/>
            <w:vAlign w:val="top"/>
          </w:tcPr>
          <w:p w14:paraId="443579A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tcBorders>
              <w:top w:val="nil"/>
            </w:tcBorders>
            <w:noWrap w:val="0"/>
            <w:vAlign w:val="top"/>
          </w:tcPr>
          <w:p w14:paraId="7E87B32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tcBorders>
              <w:top w:val="nil"/>
            </w:tcBorders>
            <w:noWrap w:val="0"/>
            <w:vAlign w:val="top"/>
          </w:tcPr>
          <w:p w14:paraId="4722A7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tcBorders>
              <w:top w:val="nil"/>
            </w:tcBorders>
            <w:noWrap w:val="0"/>
            <w:vAlign w:val="top"/>
          </w:tcPr>
          <w:p w14:paraId="0A31E8C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4AAD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605F8D7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01F980E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79C832B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78B8FFA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130AD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5A7FD92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4B162D7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37EA1A7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5179164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01D2F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30B2DC7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40DDF94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17A5F1B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10E9E5F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6116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2003E00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457F19A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42A926A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03511AA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FFCF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453CE72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505DA45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1288847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012918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7A63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3AC6D97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2B20938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60C9556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02DAA03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8089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5293D2F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50F9405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64F58A4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498EE8A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4FB3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66C388C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136B2B2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036046A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0CE1E0B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A53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5C31F0C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5959547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2E9A192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4620599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BF84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226EC41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77DB0D3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36712E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4663ACD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8F31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074217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0275F25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4FCE3B5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5D69811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275BF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1BA0E67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5B06AA5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0AF1C65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4E1EA76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758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77FE677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2394CE9B">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7481859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005ADAE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BD23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5B49C27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0B272E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78553D8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4C3371D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5EFDB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1AFA16D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778EFFCA">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35925DE8">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0150385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3D961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5B0E94C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2F0A50A5">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14E6E67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57F7C2E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B48A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55A040D0">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105D624E">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158ED41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15ABE00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8E83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05B7A8F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56FC5A27">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5309718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5328F62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5508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3635943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2D48B0A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2E2D069C">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53B91219">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707E3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3D92D356">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011565A2">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44AA269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778B546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627B3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85" w:type="dxa"/>
            <w:noWrap w:val="0"/>
            <w:vAlign w:val="top"/>
          </w:tcPr>
          <w:p w14:paraId="2E6BC89D">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998" w:type="dxa"/>
            <w:noWrap w:val="0"/>
            <w:vAlign w:val="top"/>
          </w:tcPr>
          <w:p w14:paraId="54E0D6B4">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4712" w:type="dxa"/>
            <w:noWrap w:val="0"/>
            <w:vAlign w:val="top"/>
          </w:tcPr>
          <w:p w14:paraId="6844BEA1">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c>
          <w:tcPr>
            <w:tcW w:w="1285" w:type="dxa"/>
            <w:noWrap w:val="0"/>
            <w:vAlign w:val="top"/>
          </w:tcPr>
          <w:p w14:paraId="0962D60F">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p>
        </w:tc>
      </w:tr>
      <w:tr w14:paraId="45D49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8880" w:type="dxa"/>
            <w:gridSpan w:val="4"/>
            <w:noWrap w:val="0"/>
            <w:vAlign w:val="top"/>
          </w:tcPr>
          <w:p w14:paraId="39FAA663">
            <w:pPr>
              <w:pStyle w:val="3"/>
              <w:keepNext/>
              <w:pageBreakBefore w:val="0"/>
              <w:widowControl w:val="0"/>
              <w:kinsoku/>
              <w:wordWrap/>
              <w:overflowPunct/>
              <w:topLinePunct w:val="0"/>
              <w:bidi w:val="0"/>
              <w:snapToGrid/>
              <w:spacing w:after="0" w:line="440" w:lineRule="exact"/>
              <w:ind w:left="63" w:right="63"/>
              <w:outlineLvl w:val="9"/>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小计：</w:t>
            </w:r>
          </w:p>
        </w:tc>
      </w:tr>
    </w:tbl>
    <w:p w14:paraId="180E2C14">
      <w:pPr>
        <w:rPr>
          <w:rFonts w:hint="eastAsia"/>
          <w:color w:val="000000"/>
          <w:highlight w:val="none"/>
        </w:rPr>
      </w:pPr>
    </w:p>
    <w:p w14:paraId="3861CFF5">
      <w:pPr>
        <w:pStyle w:val="12"/>
        <w:ind w:left="0" w:leftChars="0" w:firstLine="0" w:firstLineChars="0"/>
        <w:rPr>
          <w:rFonts w:hint="eastAsia"/>
          <w:color w:val="000000"/>
          <w:highlight w:val="none"/>
        </w:rPr>
      </w:pPr>
    </w:p>
    <w:p w14:paraId="13A82C9D">
      <w:pPr>
        <w:rPr>
          <w:rFonts w:hint="eastAsia"/>
          <w:color w:val="000000"/>
          <w:highlight w:val="none"/>
        </w:rPr>
      </w:pPr>
    </w:p>
    <w:bookmarkEnd w:id="270"/>
    <w:bookmarkEnd w:id="271"/>
    <w:bookmarkEnd w:id="272"/>
    <w:bookmarkEnd w:id="273"/>
    <w:bookmarkEnd w:id="274"/>
    <w:bookmarkEnd w:id="275"/>
    <w:bookmarkEnd w:id="276"/>
    <w:bookmarkEnd w:id="277"/>
    <w:bookmarkEnd w:id="278"/>
    <w:bookmarkEnd w:id="279"/>
    <w:bookmarkEnd w:id="280"/>
    <w:p w14:paraId="30EA8B90">
      <w:pPr>
        <w:keepNext/>
        <w:keepLines/>
        <w:spacing w:before="340" w:after="330"/>
        <w:jc w:val="center"/>
        <w:outlineLvl w:val="0"/>
        <w:rPr>
          <w:rFonts w:ascii="黑体" w:hAnsi="黑体" w:eastAsia="黑体"/>
          <w:b/>
          <w:bCs/>
          <w:color w:val="000000"/>
          <w:kern w:val="44"/>
          <w:sz w:val="32"/>
          <w:szCs w:val="32"/>
          <w:highlight w:val="none"/>
        </w:rPr>
      </w:pPr>
      <w:bookmarkStart w:id="894" w:name="_Toc155799771"/>
      <w:r>
        <w:rPr>
          <w:rFonts w:hint="eastAsia" w:ascii="黑体" w:hAnsi="黑体" w:eastAsia="黑体"/>
          <w:b/>
          <w:bCs/>
          <w:color w:val="000000"/>
          <w:kern w:val="44"/>
          <w:sz w:val="32"/>
          <w:szCs w:val="32"/>
          <w:highlight w:val="none"/>
        </w:rPr>
        <w:t>第五章  工程量清单</w:t>
      </w:r>
      <w:bookmarkEnd w:id="894"/>
    </w:p>
    <w:p w14:paraId="693849A0">
      <w:pPr>
        <w:jc w:val="center"/>
        <w:rPr>
          <w:rFonts w:hint="eastAsia"/>
          <w:color w:val="000000"/>
          <w:highlight w:val="none"/>
        </w:rPr>
      </w:pPr>
    </w:p>
    <w:p w14:paraId="399F7EC3">
      <w:pPr>
        <w:jc w:val="center"/>
        <w:rPr>
          <w:color w:val="000000"/>
          <w:highlight w:val="none"/>
        </w:rPr>
      </w:pPr>
    </w:p>
    <w:p w14:paraId="5C7B7387">
      <w:pPr>
        <w:jc w:val="center"/>
        <w:rPr>
          <w:color w:val="000000"/>
          <w:highlight w:val="none"/>
        </w:rPr>
      </w:pPr>
    </w:p>
    <w:p w14:paraId="5689EE6F">
      <w:pPr>
        <w:jc w:val="center"/>
        <w:rPr>
          <w:color w:val="000000"/>
          <w:highlight w:val="none"/>
        </w:rPr>
      </w:pPr>
    </w:p>
    <w:p w14:paraId="44F2772A">
      <w:pPr>
        <w:jc w:val="center"/>
        <w:rPr>
          <w:color w:val="000000"/>
          <w:highlight w:val="none"/>
        </w:rPr>
      </w:pPr>
    </w:p>
    <w:p w14:paraId="3137CB29">
      <w:pPr>
        <w:jc w:val="center"/>
        <w:rPr>
          <w:color w:val="000000"/>
          <w:highlight w:val="none"/>
        </w:rPr>
      </w:pPr>
    </w:p>
    <w:p w14:paraId="4F19F3BB">
      <w:pPr>
        <w:jc w:val="center"/>
        <w:rPr>
          <w:color w:val="000000"/>
          <w:highlight w:val="none"/>
        </w:rPr>
      </w:pPr>
    </w:p>
    <w:p w14:paraId="1D6EB9F2">
      <w:pPr>
        <w:jc w:val="center"/>
        <w:rPr>
          <w:color w:val="000000"/>
          <w:highlight w:val="none"/>
        </w:rPr>
      </w:pPr>
    </w:p>
    <w:p w14:paraId="3156C4D7">
      <w:pPr>
        <w:jc w:val="center"/>
        <w:rPr>
          <w:color w:val="000000"/>
          <w:highlight w:val="none"/>
        </w:rPr>
      </w:pPr>
    </w:p>
    <w:p w14:paraId="1EDD7CC5">
      <w:pPr>
        <w:jc w:val="center"/>
        <w:rPr>
          <w:color w:val="000000"/>
          <w:highlight w:val="none"/>
        </w:rPr>
      </w:pPr>
    </w:p>
    <w:p w14:paraId="4FC7F535">
      <w:pPr>
        <w:jc w:val="center"/>
        <w:rPr>
          <w:color w:val="000000"/>
          <w:highlight w:val="none"/>
        </w:rPr>
      </w:pPr>
    </w:p>
    <w:p w14:paraId="065D5997">
      <w:pPr>
        <w:jc w:val="center"/>
        <w:rPr>
          <w:color w:val="000000"/>
          <w:highlight w:val="none"/>
        </w:rPr>
      </w:pPr>
    </w:p>
    <w:p w14:paraId="2801C9B0">
      <w:pPr>
        <w:jc w:val="center"/>
        <w:rPr>
          <w:color w:val="000000"/>
          <w:highlight w:val="none"/>
        </w:rPr>
      </w:pPr>
    </w:p>
    <w:p w14:paraId="315E7F1C">
      <w:pPr>
        <w:jc w:val="center"/>
        <w:rPr>
          <w:color w:val="000000"/>
          <w:highlight w:val="none"/>
        </w:rPr>
      </w:pPr>
    </w:p>
    <w:p w14:paraId="2C451506">
      <w:pPr>
        <w:jc w:val="center"/>
        <w:rPr>
          <w:color w:val="000000"/>
          <w:highlight w:val="none"/>
        </w:rPr>
      </w:pPr>
    </w:p>
    <w:p w14:paraId="0C60561C">
      <w:pPr>
        <w:jc w:val="center"/>
        <w:rPr>
          <w:color w:val="000000"/>
          <w:highlight w:val="none"/>
        </w:rPr>
      </w:pPr>
    </w:p>
    <w:p w14:paraId="3DEC20F2">
      <w:pPr>
        <w:jc w:val="center"/>
        <w:rPr>
          <w:color w:val="000000"/>
          <w:highlight w:val="none"/>
        </w:rPr>
      </w:pPr>
    </w:p>
    <w:p w14:paraId="4278CD5B">
      <w:pPr>
        <w:jc w:val="center"/>
        <w:rPr>
          <w:color w:val="000000"/>
          <w:highlight w:val="none"/>
        </w:rPr>
      </w:pPr>
    </w:p>
    <w:p w14:paraId="5CF63E33">
      <w:pPr>
        <w:jc w:val="center"/>
        <w:rPr>
          <w:color w:val="000000"/>
          <w:highlight w:val="none"/>
        </w:rPr>
      </w:pPr>
    </w:p>
    <w:p w14:paraId="71FCCFCE">
      <w:pPr>
        <w:jc w:val="center"/>
        <w:rPr>
          <w:color w:val="000000"/>
          <w:highlight w:val="none"/>
        </w:rPr>
      </w:pPr>
    </w:p>
    <w:p w14:paraId="05F7F022">
      <w:pPr>
        <w:jc w:val="center"/>
        <w:rPr>
          <w:color w:val="000000"/>
          <w:highlight w:val="none"/>
        </w:rPr>
      </w:pPr>
    </w:p>
    <w:p w14:paraId="7AB47DA6">
      <w:pPr>
        <w:jc w:val="center"/>
        <w:rPr>
          <w:color w:val="000000"/>
          <w:highlight w:val="none"/>
        </w:rPr>
      </w:pPr>
    </w:p>
    <w:p w14:paraId="0D9413F3">
      <w:pPr>
        <w:jc w:val="center"/>
        <w:rPr>
          <w:color w:val="000000"/>
          <w:highlight w:val="none"/>
        </w:rPr>
      </w:pPr>
    </w:p>
    <w:p w14:paraId="497817A1">
      <w:pPr>
        <w:jc w:val="center"/>
        <w:rPr>
          <w:color w:val="000000"/>
          <w:highlight w:val="none"/>
        </w:rPr>
      </w:pPr>
    </w:p>
    <w:p w14:paraId="2A71BAA1">
      <w:pPr>
        <w:jc w:val="center"/>
        <w:rPr>
          <w:color w:val="000000"/>
          <w:highlight w:val="none"/>
        </w:rPr>
      </w:pPr>
    </w:p>
    <w:p w14:paraId="5D9A9D69">
      <w:pPr>
        <w:jc w:val="center"/>
        <w:rPr>
          <w:color w:val="000000"/>
          <w:highlight w:val="none"/>
        </w:rPr>
      </w:pPr>
    </w:p>
    <w:p w14:paraId="0A44832B">
      <w:pPr>
        <w:jc w:val="center"/>
        <w:rPr>
          <w:color w:val="000000"/>
          <w:highlight w:val="none"/>
        </w:rPr>
      </w:pPr>
    </w:p>
    <w:p w14:paraId="1AA7A318">
      <w:pPr>
        <w:jc w:val="center"/>
        <w:rPr>
          <w:color w:val="000000"/>
          <w:highlight w:val="none"/>
        </w:rPr>
      </w:pPr>
    </w:p>
    <w:p w14:paraId="245FE3F3">
      <w:pPr>
        <w:jc w:val="center"/>
        <w:rPr>
          <w:color w:val="000000"/>
          <w:highlight w:val="none"/>
        </w:rPr>
      </w:pPr>
    </w:p>
    <w:p w14:paraId="4DE45992">
      <w:pPr>
        <w:jc w:val="center"/>
        <w:rPr>
          <w:color w:val="000000"/>
          <w:highlight w:val="none"/>
        </w:rPr>
      </w:pPr>
    </w:p>
    <w:p w14:paraId="3539142D">
      <w:pPr>
        <w:jc w:val="center"/>
        <w:rPr>
          <w:color w:val="000000"/>
          <w:highlight w:val="none"/>
        </w:rPr>
      </w:pPr>
    </w:p>
    <w:p w14:paraId="34EF444A">
      <w:pPr>
        <w:jc w:val="center"/>
        <w:rPr>
          <w:color w:val="000000"/>
          <w:highlight w:val="none"/>
        </w:rPr>
      </w:pPr>
    </w:p>
    <w:p w14:paraId="4B97A352">
      <w:pPr>
        <w:jc w:val="center"/>
        <w:rPr>
          <w:color w:val="000000"/>
          <w:highlight w:val="none"/>
        </w:rPr>
      </w:pPr>
    </w:p>
    <w:p w14:paraId="5B15048A">
      <w:pPr>
        <w:jc w:val="center"/>
        <w:rPr>
          <w:color w:val="000000"/>
          <w:highlight w:val="none"/>
        </w:rPr>
      </w:pPr>
    </w:p>
    <w:p w14:paraId="4E45F6F5">
      <w:pPr>
        <w:jc w:val="center"/>
        <w:rPr>
          <w:color w:val="000000"/>
          <w:highlight w:val="none"/>
        </w:rPr>
      </w:pPr>
    </w:p>
    <w:p w14:paraId="4FF21F4A">
      <w:pPr>
        <w:jc w:val="center"/>
        <w:rPr>
          <w:color w:val="000000"/>
          <w:highlight w:val="none"/>
        </w:rPr>
      </w:pPr>
    </w:p>
    <w:p w14:paraId="5D0D149F">
      <w:pPr>
        <w:jc w:val="center"/>
        <w:rPr>
          <w:color w:val="000000"/>
          <w:highlight w:val="none"/>
        </w:rPr>
      </w:pPr>
    </w:p>
    <w:p w14:paraId="62989C48">
      <w:pPr>
        <w:keepNext/>
        <w:keepLines/>
        <w:spacing w:before="340" w:after="330"/>
        <w:jc w:val="center"/>
        <w:outlineLvl w:val="0"/>
        <w:rPr>
          <w:rFonts w:ascii="黑体" w:hAnsi="黑体" w:eastAsia="黑体"/>
          <w:b/>
          <w:bCs/>
          <w:color w:val="000000"/>
          <w:kern w:val="44"/>
          <w:sz w:val="32"/>
          <w:szCs w:val="32"/>
          <w:highlight w:val="none"/>
        </w:rPr>
      </w:pPr>
      <w:bookmarkStart w:id="895" w:name="_Toc155799772"/>
      <w:r>
        <w:rPr>
          <w:rFonts w:hint="eastAsia" w:ascii="黑体" w:hAnsi="黑体" w:eastAsia="黑体"/>
          <w:b/>
          <w:bCs/>
          <w:color w:val="000000"/>
          <w:kern w:val="44"/>
          <w:sz w:val="32"/>
          <w:szCs w:val="32"/>
          <w:highlight w:val="none"/>
        </w:rPr>
        <w:t>第六章  图  纸</w:t>
      </w:r>
      <w:bookmarkEnd w:id="895"/>
    </w:p>
    <w:p w14:paraId="5BE8F8FC">
      <w:pPr>
        <w:rPr>
          <w:rFonts w:hint="eastAsia"/>
          <w:color w:val="000000"/>
          <w:highlight w:val="none"/>
        </w:rPr>
      </w:pPr>
    </w:p>
    <w:p w14:paraId="3AC03D4C">
      <w:pPr>
        <w:rPr>
          <w:color w:val="000000"/>
          <w:highlight w:val="none"/>
        </w:rPr>
      </w:pPr>
    </w:p>
    <w:p w14:paraId="0B071129">
      <w:pPr>
        <w:rPr>
          <w:color w:val="000000"/>
          <w:highlight w:val="none"/>
        </w:rPr>
      </w:pPr>
    </w:p>
    <w:p w14:paraId="7A6B6DE0">
      <w:pPr>
        <w:rPr>
          <w:color w:val="000000"/>
          <w:highlight w:val="none"/>
        </w:rPr>
      </w:pPr>
    </w:p>
    <w:p w14:paraId="74BD78C9">
      <w:pPr>
        <w:rPr>
          <w:color w:val="000000"/>
          <w:highlight w:val="none"/>
        </w:rPr>
      </w:pPr>
    </w:p>
    <w:p w14:paraId="23AD75C3">
      <w:pPr>
        <w:rPr>
          <w:color w:val="000000"/>
          <w:highlight w:val="none"/>
        </w:rPr>
      </w:pPr>
    </w:p>
    <w:p w14:paraId="467AF261">
      <w:pPr>
        <w:rPr>
          <w:color w:val="000000"/>
          <w:highlight w:val="none"/>
        </w:rPr>
      </w:pPr>
    </w:p>
    <w:p w14:paraId="52017BF8">
      <w:pPr>
        <w:rPr>
          <w:color w:val="000000"/>
          <w:highlight w:val="none"/>
        </w:rPr>
      </w:pPr>
    </w:p>
    <w:p w14:paraId="39DC4A24">
      <w:pPr>
        <w:rPr>
          <w:color w:val="000000"/>
          <w:highlight w:val="none"/>
        </w:rPr>
      </w:pPr>
    </w:p>
    <w:p w14:paraId="04859A0A">
      <w:pPr>
        <w:rPr>
          <w:color w:val="000000"/>
          <w:highlight w:val="none"/>
        </w:rPr>
      </w:pPr>
    </w:p>
    <w:p w14:paraId="5920B957">
      <w:pPr>
        <w:rPr>
          <w:color w:val="000000"/>
          <w:highlight w:val="none"/>
        </w:rPr>
      </w:pPr>
    </w:p>
    <w:p w14:paraId="4F9A617A">
      <w:pPr>
        <w:rPr>
          <w:color w:val="000000"/>
          <w:highlight w:val="none"/>
        </w:rPr>
      </w:pPr>
    </w:p>
    <w:p w14:paraId="1642506D">
      <w:pPr>
        <w:rPr>
          <w:color w:val="000000"/>
          <w:highlight w:val="none"/>
        </w:rPr>
      </w:pPr>
    </w:p>
    <w:p w14:paraId="739868A4">
      <w:pPr>
        <w:rPr>
          <w:color w:val="000000"/>
          <w:highlight w:val="none"/>
        </w:rPr>
      </w:pPr>
    </w:p>
    <w:p w14:paraId="7507C03A">
      <w:pPr>
        <w:rPr>
          <w:color w:val="000000"/>
          <w:highlight w:val="none"/>
        </w:rPr>
      </w:pPr>
    </w:p>
    <w:p w14:paraId="75EED283">
      <w:pPr>
        <w:rPr>
          <w:color w:val="000000"/>
          <w:highlight w:val="none"/>
        </w:rPr>
      </w:pPr>
    </w:p>
    <w:p w14:paraId="60EB8E3B">
      <w:pPr>
        <w:rPr>
          <w:color w:val="000000"/>
          <w:highlight w:val="none"/>
        </w:rPr>
      </w:pPr>
    </w:p>
    <w:p w14:paraId="7F22FB5B">
      <w:pPr>
        <w:rPr>
          <w:color w:val="000000"/>
          <w:highlight w:val="none"/>
        </w:rPr>
      </w:pPr>
    </w:p>
    <w:p w14:paraId="33372B1B">
      <w:pPr>
        <w:rPr>
          <w:color w:val="000000"/>
          <w:highlight w:val="none"/>
        </w:rPr>
      </w:pPr>
    </w:p>
    <w:p w14:paraId="05F68C85">
      <w:pPr>
        <w:rPr>
          <w:color w:val="000000"/>
          <w:highlight w:val="none"/>
        </w:rPr>
      </w:pPr>
    </w:p>
    <w:p w14:paraId="66195F90">
      <w:pPr>
        <w:rPr>
          <w:color w:val="000000"/>
          <w:highlight w:val="none"/>
        </w:rPr>
      </w:pPr>
    </w:p>
    <w:p w14:paraId="4B89781D">
      <w:pPr>
        <w:rPr>
          <w:color w:val="000000"/>
          <w:highlight w:val="none"/>
        </w:rPr>
      </w:pPr>
    </w:p>
    <w:p w14:paraId="654A737E">
      <w:pPr>
        <w:rPr>
          <w:color w:val="000000"/>
          <w:highlight w:val="none"/>
        </w:rPr>
      </w:pPr>
    </w:p>
    <w:p w14:paraId="78C75453">
      <w:pPr>
        <w:rPr>
          <w:color w:val="000000"/>
          <w:highlight w:val="none"/>
        </w:rPr>
      </w:pPr>
    </w:p>
    <w:p w14:paraId="4BE1FB1E">
      <w:pPr>
        <w:rPr>
          <w:color w:val="000000"/>
          <w:highlight w:val="none"/>
        </w:rPr>
      </w:pPr>
    </w:p>
    <w:p w14:paraId="7258F7F5">
      <w:pPr>
        <w:rPr>
          <w:color w:val="000000"/>
          <w:highlight w:val="none"/>
        </w:rPr>
      </w:pPr>
    </w:p>
    <w:p w14:paraId="1220DEBD">
      <w:pPr>
        <w:rPr>
          <w:color w:val="000000"/>
          <w:highlight w:val="none"/>
        </w:rPr>
      </w:pPr>
    </w:p>
    <w:p w14:paraId="0C70CA4B">
      <w:pPr>
        <w:rPr>
          <w:color w:val="000000"/>
          <w:highlight w:val="none"/>
        </w:rPr>
      </w:pPr>
    </w:p>
    <w:p w14:paraId="0C255C2E">
      <w:pPr>
        <w:rPr>
          <w:color w:val="000000"/>
          <w:highlight w:val="none"/>
        </w:rPr>
      </w:pPr>
    </w:p>
    <w:p w14:paraId="7B601059">
      <w:pPr>
        <w:rPr>
          <w:color w:val="000000"/>
          <w:highlight w:val="none"/>
        </w:rPr>
      </w:pPr>
    </w:p>
    <w:p w14:paraId="48FBB977">
      <w:pPr>
        <w:rPr>
          <w:color w:val="000000"/>
          <w:highlight w:val="none"/>
        </w:rPr>
      </w:pPr>
    </w:p>
    <w:p w14:paraId="0064C88B">
      <w:pPr>
        <w:rPr>
          <w:color w:val="000000"/>
          <w:highlight w:val="none"/>
        </w:rPr>
      </w:pPr>
    </w:p>
    <w:p w14:paraId="0C63C2EE">
      <w:pPr>
        <w:rPr>
          <w:color w:val="000000"/>
          <w:highlight w:val="none"/>
        </w:rPr>
      </w:pPr>
    </w:p>
    <w:p w14:paraId="57BF3901">
      <w:pPr>
        <w:rPr>
          <w:color w:val="000000"/>
          <w:highlight w:val="none"/>
        </w:rPr>
      </w:pPr>
    </w:p>
    <w:p w14:paraId="3C9EF596">
      <w:pPr>
        <w:rPr>
          <w:color w:val="000000"/>
          <w:highlight w:val="none"/>
        </w:rPr>
      </w:pPr>
    </w:p>
    <w:p w14:paraId="0B6A2C7E">
      <w:pPr>
        <w:keepNext/>
        <w:keepLines/>
        <w:spacing w:before="340" w:after="330"/>
        <w:jc w:val="center"/>
        <w:outlineLvl w:val="0"/>
        <w:rPr>
          <w:rFonts w:ascii="黑体" w:hAnsi="黑体" w:eastAsia="黑体"/>
          <w:b/>
          <w:bCs/>
          <w:color w:val="000000"/>
          <w:kern w:val="44"/>
          <w:sz w:val="32"/>
          <w:szCs w:val="32"/>
          <w:highlight w:val="none"/>
        </w:rPr>
      </w:pPr>
      <w:bookmarkStart w:id="896" w:name="_Toc155799773"/>
      <w:r>
        <w:rPr>
          <w:rFonts w:hint="eastAsia" w:ascii="黑体" w:hAnsi="黑体" w:eastAsia="黑体"/>
          <w:b/>
          <w:bCs/>
          <w:color w:val="000000"/>
          <w:kern w:val="44"/>
          <w:sz w:val="32"/>
          <w:szCs w:val="32"/>
          <w:highlight w:val="none"/>
        </w:rPr>
        <w:br w:type="page"/>
      </w:r>
      <w:r>
        <w:rPr>
          <w:rFonts w:hint="eastAsia" w:ascii="黑体" w:hAnsi="黑体" w:eastAsia="黑体"/>
          <w:b/>
          <w:bCs/>
          <w:color w:val="000000"/>
          <w:kern w:val="44"/>
          <w:sz w:val="32"/>
          <w:szCs w:val="32"/>
          <w:highlight w:val="none"/>
        </w:rPr>
        <w:t>第七章  技术标准和要求</w:t>
      </w:r>
      <w:bookmarkEnd w:id="896"/>
    </w:p>
    <w:p w14:paraId="530AA32A">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一、实施的有关标准与法规</w:t>
      </w:r>
    </w:p>
    <w:p w14:paraId="18615FD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国家、地方现行的工程建设施工及验收规范、施工技术标准、工程建设施工操作规程《建设工程质量管理条例》、《建设工程安全生产管理条例》等；规范中制定的标准或法规为工程实施中实际采用的标准和法规，中标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建筑建设工程及其他相关工程的习惯做法。</w:t>
      </w:r>
    </w:p>
    <w:p w14:paraId="23369CC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本工程实施中采用的材料、设备和工艺应在各个方面符合引用的标准规范。</w:t>
      </w:r>
    </w:p>
    <w:p w14:paraId="47A7759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本工程实施中采用图纸中指定的和现行的有关技术规范和标准。所采用的规范和标准如出现标准不一致的情况，以标准高的为准。</w:t>
      </w:r>
    </w:p>
    <w:p w14:paraId="5103A6D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其它现行规范和标准不全或现行规范标准不一致时，以现行规范标准为准。</w:t>
      </w:r>
    </w:p>
    <w:p w14:paraId="17E8B4F6">
      <w:pPr>
        <w:spacing w:line="360" w:lineRule="auto"/>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建筑与市政工程施工企业现场主要管理人员要求：投标人须按照《河南省建筑与市政工程施工企业现场从业人员管理标准》（编号DBJ41/T141-2024）、及国家、河南省有关法律法规、规范配备施工企业现场主要管理人员，不得擅自降低标准。</w:t>
      </w:r>
    </w:p>
    <w:p w14:paraId="5D8D5730">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二、工程验收</w:t>
      </w:r>
    </w:p>
    <w:p w14:paraId="3A3EB38D">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工程验收按照国家目前有关规定执行。</w:t>
      </w:r>
    </w:p>
    <w:p w14:paraId="32CF8078">
      <w:pPr>
        <w:spacing w:line="360" w:lineRule="auto"/>
        <w:ind w:firstLine="420" w:firstLineChars="200"/>
        <w:rPr>
          <w:rFonts w:hint="eastAsia" w:ascii="宋体" w:hAnsi="宋体"/>
          <w:color w:val="000000"/>
          <w:szCs w:val="21"/>
          <w:highlight w:val="none"/>
        </w:rPr>
      </w:pPr>
    </w:p>
    <w:p w14:paraId="27C541FF">
      <w:pPr>
        <w:spacing w:line="360" w:lineRule="auto"/>
        <w:ind w:firstLine="420" w:firstLineChars="200"/>
        <w:rPr>
          <w:rFonts w:hint="eastAsia" w:ascii="宋体" w:hAnsi="宋体"/>
          <w:color w:val="000000"/>
          <w:szCs w:val="21"/>
          <w:highlight w:val="none"/>
        </w:rPr>
      </w:pPr>
    </w:p>
    <w:p w14:paraId="0DEE41B4">
      <w:pPr>
        <w:spacing w:line="360" w:lineRule="auto"/>
        <w:ind w:firstLine="420" w:firstLineChars="200"/>
        <w:rPr>
          <w:rFonts w:hint="eastAsia" w:ascii="宋体" w:hAnsi="宋体"/>
          <w:color w:val="000000"/>
          <w:szCs w:val="21"/>
          <w:highlight w:val="none"/>
        </w:rPr>
      </w:pPr>
    </w:p>
    <w:p w14:paraId="4BE960D8">
      <w:pPr>
        <w:spacing w:line="360" w:lineRule="auto"/>
        <w:ind w:firstLine="420" w:firstLineChars="200"/>
        <w:rPr>
          <w:rFonts w:hint="eastAsia" w:ascii="宋体" w:hAnsi="宋体"/>
          <w:color w:val="000000"/>
          <w:szCs w:val="21"/>
          <w:highlight w:val="none"/>
        </w:rPr>
      </w:pPr>
    </w:p>
    <w:p w14:paraId="0C172C28">
      <w:pPr>
        <w:spacing w:line="360" w:lineRule="auto"/>
        <w:ind w:firstLine="420" w:firstLineChars="200"/>
        <w:rPr>
          <w:rFonts w:hint="eastAsia" w:ascii="宋体" w:hAnsi="宋体"/>
          <w:color w:val="000000"/>
          <w:szCs w:val="21"/>
          <w:highlight w:val="none"/>
        </w:rPr>
      </w:pPr>
    </w:p>
    <w:p w14:paraId="20D850D9">
      <w:pPr>
        <w:spacing w:line="360" w:lineRule="auto"/>
        <w:ind w:firstLine="420" w:firstLineChars="200"/>
        <w:rPr>
          <w:rFonts w:hint="eastAsia" w:ascii="宋体" w:hAnsi="宋体"/>
          <w:color w:val="000000"/>
          <w:szCs w:val="21"/>
          <w:highlight w:val="none"/>
        </w:rPr>
      </w:pPr>
    </w:p>
    <w:p w14:paraId="0F692FA1">
      <w:pPr>
        <w:spacing w:line="360" w:lineRule="auto"/>
        <w:ind w:firstLine="420" w:firstLineChars="200"/>
        <w:rPr>
          <w:rFonts w:hint="eastAsia" w:ascii="宋体" w:hAnsi="宋体"/>
          <w:color w:val="000000"/>
          <w:szCs w:val="21"/>
          <w:highlight w:val="none"/>
        </w:rPr>
      </w:pPr>
    </w:p>
    <w:p w14:paraId="78DD408B">
      <w:pPr>
        <w:spacing w:line="360" w:lineRule="auto"/>
        <w:ind w:firstLine="420" w:firstLineChars="200"/>
        <w:rPr>
          <w:rFonts w:hint="eastAsia" w:ascii="宋体" w:hAnsi="宋体"/>
          <w:color w:val="000000"/>
          <w:szCs w:val="21"/>
          <w:highlight w:val="none"/>
        </w:rPr>
      </w:pPr>
    </w:p>
    <w:p w14:paraId="45746A1A">
      <w:pPr>
        <w:spacing w:line="360" w:lineRule="auto"/>
        <w:ind w:firstLine="420" w:firstLineChars="200"/>
        <w:rPr>
          <w:rFonts w:hint="eastAsia" w:ascii="宋体" w:hAnsi="宋体"/>
          <w:color w:val="000000"/>
          <w:szCs w:val="21"/>
          <w:highlight w:val="none"/>
        </w:rPr>
      </w:pPr>
    </w:p>
    <w:p w14:paraId="6594DA8D">
      <w:pPr>
        <w:spacing w:line="360" w:lineRule="auto"/>
        <w:ind w:firstLine="420" w:firstLineChars="200"/>
        <w:rPr>
          <w:rFonts w:hint="eastAsia" w:ascii="宋体" w:hAnsi="宋体"/>
          <w:color w:val="000000"/>
          <w:szCs w:val="21"/>
          <w:highlight w:val="none"/>
        </w:rPr>
      </w:pPr>
    </w:p>
    <w:p w14:paraId="60126765">
      <w:pPr>
        <w:spacing w:line="360" w:lineRule="auto"/>
        <w:ind w:firstLine="420" w:firstLineChars="200"/>
        <w:rPr>
          <w:rFonts w:hint="eastAsia" w:ascii="宋体" w:hAnsi="宋体"/>
          <w:color w:val="000000"/>
          <w:szCs w:val="21"/>
          <w:highlight w:val="none"/>
        </w:rPr>
      </w:pPr>
    </w:p>
    <w:p w14:paraId="59953C37">
      <w:pPr>
        <w:spacing w:line="360" w:lineRule="auto"/>
        <w:ind w:firstLine="420" w:firstLineChars="200"/>
        <w:rPr>
          <w:rFonts w:hint="eastAsia" w:ascii="宋体" w:hAnsi="宋体"/>
          <w:color w:val="000000"/>
          <w:szCs w:val="21"/>
          <w:highlight w:val="none"/>
        </w:rPr>
      </w:pPr>
    </w:p>
    <w:p w14:paraId="7388F12D">
      <w:pPr>
        <w:spacing w:line="360" w:lineRule="auto"/>
        <w:rPr>
          <w:rFonts w:hint="eastAsia" w:ascii="宋体" w:hAnsi="宋体"/>
          <w:color w:val="000000"/>
          <w:szCs w:val="21"/>
          <w:highlight w:val="none"/>
        </w:rPr>
      </w:pPr>
      <w:bookmarkStart w:id="946" w:name="_GoBack"/>
      <w:bookmarkEnd w:id="946"/>
    </w:p>
    <w:p w14:paraId="7695EF76">
      <w:pPr>
        <w:keepNext/>
        <w:keepLines/>
        <w:spacing w:before="340" w:after="330"/>
        <w:jc w:val="center"/>
        <w:outlineLvl w:val="0"/>
        <w:rPr>
          <w:rFonts w:hint="eastAsia" w:ascii="黑体" w:hAnsi="黑体" w:eastAsia="黑体"/>
          <w:b/>
          <w:bCs/>
          <w:color w:val="000000"/>
          <w:kern w:val="44"/>
          <w:sz w:val="32"/>
          <w:szCs w:val="32"/>
          <w:highlight w:val="none"/>
        </w:rPr>
      </w:pPr>
      <w:bookmarkStart w:id="897" w:name="_Toc155799774"/>
      <w:r>
        <w:rPr>
          <w:rFonts w:hint="eastAsia" w:ascii="黑体" w:hAnsi="黑体" w:eastAsia="黑体"/>
          <w:b/>
          <w:bCs/>
          <w:color w:val="000000"/>
          <w:kern w:val="44"/>
          <w:sz w:val="32"/>
          <w:szCs w:val="32"/>
          <w:highlight w:val="none"/>
        </w:rPr>
        <w:t>第八章  投标文件格式</w:t>
      </w:r>
      <w:bookmarkEnd w:id="897"/>
    </w:p>
    <w:p w14:paraId="6B6AB036">
      <w:pPr>
        <w:jc w:val="center"/>
        <w:rPr>
          <w:rFonts w:hint="eastAsia" w:ascii="黑体" w:eastAsia="黑体"/>
          <w:color w:val="000000"/>
          <w:sz w:val="32"/>
          <w:szCs w:val="32"/>
          <w:highlight w:val="none"/>
        </w:rPr>
      </w:pPr>
    </w:p>
    <w:p w14:paraId="7C2ECA21">
      <w:pPr>
        <w:jc w:val="center"/>
        <w:rPr>
          <w:rFonts w:hint="eastAsia" w:ascii="黑体" w:eastAsia="黑体"/>
          <w:color w:val="000000"/>
          <w:sz w:val="32"/>
          <w:szCs w:val="32"/>
          <w:highlight w:val="none"/>
        </w:rPr>
      </w:pPr>
    </w:p>
    <w:p w14:paraId="7B06A9AF">
      <w:pPr>
        <w:ind w:firstLine="2880" w:firstLineChars="900"/>
        <w:rPr>
          <w:rFonts w:hint="eastAsia" w:ascii="黑体" w:eastAsia="黑体"/>
          <w:color w:val="000000"/>
          <w:sz w:val="28"/>
          <w:szCs w:val="28"/>
          <w:highlight w:val="none"/>
          <w:u w:val="single"/>
        </w:rPr>
      </w:pPr>
      <w:r>
        <w:rPr>
          <w:rFonts w:hint="eastAsia" w:ascii="黑体" w:eastAsia="黑体"/>
          <w:color w:val="000000"/>
          <w:sz w:val="32"/>
          <w:szCs w:val="32"/>
          <w:highlight w:val="none"/>
          <w:u w:val="single"/>
        </w:rPr>
        <w:t xml:space="preserve">    </w:t>
      </w:r>
      <w:r>
        <w:rPr>
          <w:rFonts w:hint="eastAsia" w:ascii="宋体" w:hAnsi="宋体"/>
          <w:color w:val="000000"/>
          <w:sz w:val="28"/>
          <w:szCs w:val="28"/>
          <w:highlight w:val="none"/>
          <w:u w:val="single"/>
        </w:rPr>
        <w:t xml:space="preserve">（项目名称）  </w:t>
      </w:r>
    </w:p>
    <w:p w14:paraId="04319F44">
      <w:pPr>
        <w:spacing w:before="312" w:beforeLines="100"/>
        <w:jc w:val="center"/>
        <w:rPr>
          <w:rFonts w:hint="eastAsia" w:ascii="黑体" w:eastAsia="黑体"/>
          <w:color w:val="000000"/>
          <w:sz w:val="44"/>
          <w:szCs w:val="44"/>
          <w:highlight w:val="none"/>
        </w:rPr>
      </w:pPr>
      <w:r>
        <w:rPr>
          <w:rFonts w:hint="eastAsia" w:ascii="黑体" w:eastAsia="黑体"/>
          <w:color w:val="000000"/>
          <w:sz w:val="44"/>
          <w:szCs w:val="44"/>
          <w:highlight w:val="none"/>
        </w:rPr>
        <w:t xml:space="preserve"> 投  标  文  件</w:t>
      </w:r>
    </w:p>
    <w:p w14:paraId="13AD4B14">
      <w:pPr>
        <w:jc w:val="center"/>
        <w:rPr>
          <w:rFonts w:hint="eastAsia" w:ascii="黑体" w:eastAsia="黑体"/>
          <w:color w:val="000000"/>
          <w:sz w:val="32"/>
          <w:szCs w:val="32"/>
          <w:highlight w:val="none"/>
        </w:rPr>
      </w:pPr>
    </w:p>
    <w:p w14:paraId="6F87BD5A">
      <w:pPr>
        <w:jc w:val="center"/>
        <w:rPr>
          <w:rFonts w:hint="default" w:ascii="黑体" w:eastAsia="黑体"/>
          <w:color w:val="000000"/>
          <w:szCs w:val="21"/>
          <w:highlight w:val="none"/>
          <w:lang w:val="en-US" w:eastAsia="zh-CN"/>
        </w:rPr>
      </w:pPr>
      <w:r>
        <w:rPr>
          <w:rFonts w:hint="eastAsia" w:ascii="黑体" w:eastAsia="黑体"/>
          <w:color w:val="000000"/>
          <w:szCs w:val="21"/>
          <w:highlight w:val="none"/>
        </w:rPr>
        <w:t>招标编号：</w:t>
      </w:r>
      <w:r>
        <w:rPr>
          <w:rFonts w:hint="eastAsia" w:ascii="黑体" w:eastAsia="黑体"/>
          <w:color w:val="000000"/>
          <w:szCs w:val="21"/>
          <w:highlight w:val="none"/>
          <w:u w:val="single"/>
          <w:lang w:val="en-US" w:eastAsia="zh-CN"/>
        </w:rPr>
        <w:t xml:space="preserve">      </w:t>
      </w:r>
    </w:p>
    <w:p w14:paraId="5FB1824A">
      <w:pPr>
        <w:jc w:val="center"/>
        <w:rPr>
          <w:rFonts w:hint="eastAsia" w:ascii="黑体" w:eastAsia="黑体"/>
          <w:color w:val="000000"/>
          <w:sz w:val="32"/>
          <w:szCs w:val="32"/>
          <w:highlight w:val="none"/>
        </w:rPr>
      </w:pPr>
    </w:p>
    <w:p w14:paraId="5722EA5A">
      <w:pPr>
        <w:jc w:val="center"/>
        <w:rPr>
          <w:rFonts w:hint="eastAsia" w:ascii="黑体" w:eastAsia="黑体"/>
          <w:color w:val="000000"/>
          <w:sz w:val="32"/>
          <w:szCs w:val="32"/>
          <w:highlight w:val="none"/>
        </w:rPr>
      </w:pPr>
    </w:p>
    <w:p w14:paraId="0A94F8AC">
      <w:pPr>
        <w:jc w:val="center"/>
        <w:rPr>
          <w:rFonts w:hint="eastAsia" w:ascii="黑体" w:eastAsia="黑体"/>
          <w:color w:val="000000"/>
          <w:sz w:val="32"/>
          <w:szCs w:val="32"/>
          <w:highlight w:val="none"/>
        </w:rPr>
      </w:pPr>
    </w:p>
    <w:p w14:paraId="0D0DE54A">
      <w:pPr>
        <w:jc w:val="center"/>
        <w:rPr>
          <w:rFonts w:hint="eastAsia" w:ascii="黑体" w:eastAsia="黑体"/>
          <w:color w:val="000000"/>
          <w:sz w:val="32"/>
          <w:szCs w:val="32"/>
          <w:highlight w:val="none"/>
        </w:rPr>
      </w:pPr>
    </w:p>
    <w:p w14:paraId="71417CD7">
      <w:pPr>
        <w:jc w:val="center"/>
        <w:rPr>
          <w:rFonts w:hint="eastAsia" w:ascii="黑体" w:eastAsia="黑体"/>
          <w:color w:val="000000"/>
          <w:sz w:val="32"/>
          <w:szCs w:val="32"/>
          <w:highlight w:val="none"/>
        </w:rPr>
      </w:pPr>
    </w:p>
    <w:p w14:paraId="7B03E32E">
      <w:pPr>
        <w:jc w:val="center"/>
        <w:rPr>
          <w:rFonts w:hint="eastAsia" w:ascii="黑体" w:eastAsia="黑体"/>
          <w:color w:val="000000"/>
          <w:sz w:val="32"/>
          <w:szCs w:val="32"/>
          <w:highlight w:val="none"/>
        </w:rPr>
      </w:pPr>
    </w:p>
    <w:p w14:paraId="6588C835">
      <w:pPr>
        <w:jc w:val="center"/>
        <w:rPr>
          <w:rFonts w:hint="eastAsia" w:ascii="黑体" w:eastAsia="黑体"/>
          <w:color w:val="000000"/>
          <w:sz w:val="32"/>
          <w:szCs w:val="32"/>
          <w:highlight w:val="none"/>
        </w:rPr>
      </w:pPr>
    </w:p>
    <w:p w14:paraId="08996AD0">
      <w:pPr>
        <w:jc w:val="center"/>
        <w:rPr>
          <w:rFonts w:hint="eastAsia" w:ascii="黑体" w:eastAsia="黑体"/>
          <w:color w:val="000000"/>
          <w:sz w:val="32"/>
          <w:szCs w:val="32"/>
          <w:highlight w:val="none"/>
        </w:rPr>
      </w:pPr>
    </w:p>
    <w:p w14:paraId="411C0BAE">
      <w:pPr>
        <w:jc w:val="center"/>
        <w:rPr>
          <w:rFonts w:hint="eastAsia" w:ascii="黑体" w:eastAsia="黑体"/>
          <w:color w:val="000000"/>
          <w:sz w:val="32"/>
          <w:szCs w:val="32"/>
          <w:highlight w:val="none"/>
        </w:rPr>
      </w:pPr>
    </w:p>
    <w:p w14:paraId="23887CFB">
      <w:pPr>
        <w:jc w:val="center"/>
        <w:rPr>
          <w:rFonts w:hint="eastAsia" w:ascii="黑体" w:eastAsia="黑体"/>
          <w:color w:val="000000"/>
          <w:sz w:val="32"/>
          <w:szCs w:val="32"/>
          <w:highlight w:val="none"/>
        </w:rPr>
      </w:pPr>
    </w:p>
    <w:p w14:paraId="0C0E3DCA">
      <w:pPr>
        <w:spacing w:line="360" w:lineRule="auto"/>
        <w:jc w:val="center"/>
        <w:rPr>
          <w:rFonts w:hint="eastAsia" w:ascii="黑体" w:eastAsia="黑体"/>
          <w:color w:val="000000"/>
          <w:sz w:val="28"/>
          <w:szCs w:val="28"/>
          <w:highlight w:val="none"/>
        </w:rPr>
      </w:pPr>
      <w:r>
        <w:rPr>
          <w:rFonts w:hint="eastAsia" w:ascii="黑体" w:eastAsia="黑体"/>
          <w:color w:val="000000"/>
          <w:sz w:val="28"/>
          <w:szCs w:val="28"/>
          <w:highlight w:val="none"/>
        </w:rPr>
        <w:t>投标人：</w:t>
      </w: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（电子签章）</w:t>
      </w:r>
    </w:p>
    <w:p w14:paraId="3254ED8E">
      <w:pPr>
        <w:spacing w:line="360" w:lineRule="auto"/>
        <w:ind w:firstLine="560" w:firstLineChars="200"/>
        <w:rPr>
          <w:rFonts w:hint="eastAsia" w:ascii="黑体" w:eastAsia="黑体"/>
          <w:color w:val="000000"/>
          <w:sz w:val="28"/>
          <w:szCs w:val="28"/>
          <w:highlight w:val="none"/>
        </w:rPr>
      </w:pPr>
      <w:r>
        <w:rPr>
          <w:rFonts w:hint="eastAsia" w:ascii="黑体" w:eastAsia="黑体"/>
          <w:color w:val="000000"/>
          <w:sz w:val="28"/>
          <w:szCs w:val="28"/>
          <w:highlight w:val="none"/>
        </w:rPr>
        <w:t>法定代表人：</w:t>
      </w: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（电子签章）</w:t>
      </w:r>
    </w:p>
    <w:p w14:paraId="24A2AC02">
      <w:pPr>
        <w:jc w:val="center"/>
        <w:rPr>
          <w:rFonts w:hint="eastAsia" w:ascii="黑体" w:eastAsia="黑体"/>
          <w:color w:val="000000"/>
          <w:sz w:val="28"/>
          <w:szCs w:val="28"/>
          <w:highlight w:val="none"/>
        </w:rPr>
      </w:pP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年</w:t>
      </w: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月</w:t>
      </w: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日</w:t>
      </w:r>
    </w:p>
    <w:p w14:paraId="516C100A">
      <w:pPr>
        <w:spacing w:before="312" w:beforeLines="100" w:after="312" w:afterLines="100"/>
        <w:jc w:val="center"/>
        <w:rPr>
          <w:rFonts w:hint="eastAsia" w:ascii="黑体" w:eastAsia="黑体"/>
          <w:color w:val="000000"/>
          <w:sz w:val="36"/>
          <w:szCs w:val="36"/>
          <w:highlight w:val="none"/>
        </w:rPr>
      </w:pPr>
      <w:r>
        <w:rPr>
          <w:rFonts w:hint="eastAsia" w:ascii="黑体" w:eastAsia="黑体"/>
          <w:color w:val="000000"/>
          <w:sz w:val="28"/>
          <w:szCs w:val="28"/>
          <w:highlight w:val="none"/>
        </w:rPr>
        <w:br w:type="page"/>
      </w:r>
      <w:r>
        <w:rPr>
          <w:rFonts w:hint="eastAsia" w:ascii="黑体" w:eastAsia="黑体"/>
          <w:color w:val="000000"/>
          <w:sz w:val="36"/>
          <w:szCs w:val="36"/>
          <w:highlight w:val="none"/>
        </w:rPr>
        <w:t>目    录</w:t>
      </w:r>
    </w:p>
    <w:p w14:paraId="67AA0178">
      <w:pPr>
        <w:spacing w:line="600" w:lineRule="exact"/>
        <w:jc w:val="center"/>
        <w:rPr>
          <w:rFonts w:hint="eastAsia" w:ascii="宋体" w:hAnsi="宋体" w:eastAsia="宋体"/>
          <w:color w:val="000000"/>
          <w:szCs w:val="21"/>
          <w:highlight w:val="none"/>
          <w:lang w:eastAsia="zh-CN"/>
        </w:rPr>
      </w:pPr>
      <w:bookmarkStart w:id="898" w:name="_Toc299523092"/>
      <w:bookmarkStart w:id="899" w:name="_Toc356205633"/>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格式自拟</w:t>
      </w:r>
      <w:r>
        <w:rPr>
          <w:rFonts w:hint="eastAsia" w:ascii="宋体" w:hAnsi="宋体"/>
          <w:color w:val="000000"/>
          <w:szCs w:val="21"/>
          <w:highlight w:val="none"/>
          <w:lang w:eastAsia="zh-CN"/>
        </w:rPr>
        <w:t>）</w:t>
      </w:r>
    </w:p>
    <w:p w14:paraId="6EE006B1">
      <w:pPr>
        <w:spacing w:line="600" w:lineRule="exact"/>
        <w:rPr>
          <w:rFonts w:hint="eastAsia" w:ascii="宋体" w:hAnsi="宋体"/>
          <w:color w:val="000000"/>
          <w:szCs w:val="21"/>
          <w:highlight w:val="none"/>
        </w:rPr>
      </w:pPr>
    </w:p>
    <w:p w14:paraId="46BB035C">
      <w:pPr>
        <w:spacing w:line="600" w:lineRule="exact"/>
        <w:rPr>
          <w:rFonts w:hint="eastAsia" w:ascii="宋体" w:hAnsi="宋体"/>
          <w:color w:val="000000"/>
          <w:szCs w:val="21"/>
          <w:highlight w:val="none"/>
        </w:rPr>
      </w:pPr>
    </w:p>
    <w:p w14:paraId="1B8240B2">
      <w:pPr>
        <w:spacing w:line="600" w:lineRule="exact"/>
        <w:rPr>
          <w:rFonts w:hint="eastAsia" w:ascii="宋体" w:hAnsi="宋体"/>
          <w:color w:val="000000"/>
          <w:szCs w:val="21"/>
          <w:highlight w:val="none"/>
        </w:rPr>
      </w:pPr>
    </w:p>
    <w:p w14:paraId="57D8DC9D">
      <w:pPr>
        <w:spacing w:line="600" w:lineRule="exact"/>
        <w:rPr>
          <w:rFonts w:hint="eastAsia" w:ascii="宋体" w:hAnsi="宋体"/>
          <w:color w:val="000000"/>
          <w:szCs w:val="21"/>
          <w:highlight w:val="none"/>
        </w:rPr>
      </w:pPr>
    </w:p>
    <w:p w14:paraId="14C1CCF7">
      <w:pPr>
        <w:spacing w:line="600" w:lineRule="exact"/>
        <w:rPr>
          <w:rFonts w:hint="eastAsia" w:ascii="宋体" w:hAnsi="宋体"/>
          <w:color w:val="000000"/>
          <w:szCs w:val="21"/>
          <w:highlight w:val="none"/>
        </w:rPr>
      </w:pPr>
    </w:p>
    <w:p w14:paraId="30EED508">
      <w:pPr>
        <w:spacing w:line="600" w:lineRule="exact"/>
        <w:rPr>
          <w:rFonts w:hint="eastAsia" w:ascii="宋体" w:hAnsi="宋体"/>
          <w:color w:val="000000"/>
          <w:szCs w:val="21"/>
          <w:highlight w:val="none"/>
        </w:rPr>
      </w:pPr>
    </w:p>
    <w:p w14:paraId="1AC1588E">
      <w:pPr>
        <w:spacing w:line="600" w:lineRule="exact"/>
        <w:rPr>
          <w:rFonts w:hint="eastAsia" w:ascii="宋体" w:hAnsi="宋体"/>
          <w:color w:val="000000"/>
          <w:szCs w:val="21"/>
          <w:highlight w:val="none"/>
        </w:rPr>
      </w:pPr>
    </w:p>
    <w:p w14:paraId="08B9CAB9">
      <w:pPr>
        <w:spacing w:line="600" w:lineRule="exact"/>
        <w:rPr>
          <w:rFonts w:hint="eastAsia" w:ascii="宋体" w:hAnsi="宋体"/>
          <w:color w:val="000000"/>
          <w:szCs w:val="21"/>
          <w:highlight w:val="none"/>
        </w:rPr>
      </w:pPr>
    </w:p>
    <w:p w14:paraId="72D7713C">
      <w:pPr>
        <w:spacing w:line="600" w:lineRule="exact"/>
        <w:rPr>
          <w:rFonts w:hint="eastAsia" w:ascii="宋体" w:hAnsi="宋体"/>
          <w:color w:val="000000"/>
          <w:szCs w:val="21"/>
          <w:highlight w:val="none"/>
        </w:rPr>
      </w:pPr>
    </w:p>
    <w:p w14:paraId="4CC6DF33">
      <w:pPr>
        <w:spacing w:line="600" w:lineRule="exact"/>
        <w:rPr>
          <w:rFonts w:hint="eastAsia" w:ascii="宋体" w:hAnsi="宋体"/>
          <w:color w:val="000000"/>
          <w:szCs w:val="21"/>
          <w:highlight w:val="none"/>
        </w:rPr>
      </w:pPr>
    </w:p>
    <w:p w14:paraId="5883740D">
      <w:pPr>
        <w:spacing w:line="600" w:lineRule="exact"/>
        <w:rPr>
          <w:rFonts w:hint="eastAsia" w:ascii="宋体" w:hAnsi="宋体"/>
          <w:color w:val="000000"/>
          <w:szCs w:val="21"/>
          <w:highlight w:val="none"/>
        </w:rPr>
      </w:pPr>
    </w:p>
    <w:p w14:paraId="567E3762">
      <w:pPr>
        <w:spacing w:line="600" w:lineRule="exact"/>
        <w:rPr>
          <w:rFonts w:hint="eastAsia" w:ascii="宋体" w:hAnsi="宋体"/>
          <w:color w:val="000000"/>
          <w:szCs w:val="21"/>
          <w:highlight w:val="none"/>
        </w:rPr>
      </w:pPr>
    </w:p>
    <w:p w14:paraId="67BB5BD7">
      <w:pPr>
        <w:spacing w:line="600" w:lineRule="exact"/>
        <w:rPr>
          <w:rFonts w:hint="eastAsia" w:ascii="宋体" w:hAnsi="宋体"/>
          <w:color w:val="000000"/>
          <w:szCs w:val="21"/>
          <w:highlight w:val="none"/>
        </w:rPr>
      </w:pPr>
    </w:p>
    <w:p w14:paraId="073C312F">
      <w:pPr>
        <w:spacing w:line="600" w:lineRule="exact"/>
        <w:rPr>
          <w:rFonts w:hint="eastAsia" w:ascii="宋体" w:hAnsi="宋体"/>
          <w:color w:val="000000"/>
          <w:szCs w:val="21"/>
          <w:highlight w:val="none"/>
        </w:rPr>
      </w:pPr>
    </w:p>
    <w:p w14:paraId="7E75B352">
      <w:pPr>
        <w:spacing w:line="600" w:lineRule="exact"/>
        <w:rPr>
          <w:rFonts w:hint="eastAsia" w:ascii="宋体" w:hAnsi="宋体"/>
          <w:color w:val="000000"/>
          <w:szCs w:val="21"/>
          <w:highlight w:val="none"/>
        </w:rPr>
      </w:pPr>
    </w:p>
    <w:p w14:paraId="22A5A018">
      <w:pPr>
        <w:spacing w:line="600" w:lineRule="exact"/>
        <w:rPr>
          <w:rFonts w:hint="eastAsia" w:ascii="宋体" w:hAnsi="宋体"/>
          <w:color w:val="000000"/>
          <w:szCs w:val="21"/>
          <w:highlight w:val="none"/>
        </w:rPr>
      </w:pPr>
    </w:p>
    <w:p w14:paraId="307ACCC4">
      <w:pPr>
        <w:spacing w:line="600" w:lineRule="exact"/>
        <w:rPr>
          <w:rFonts w:hint="eastAsia" w:ascii="宋体" w:hAnsi="宋体"/>
          <w:color w:val="000000"/>
          <w:szCs w:val="21"/>
          <w:highlight w:val="none"/>
        </w:rPr>
      </w:pPr>
    </w:p>
    <w:p w14:paraId="57C07510">
      <w:pPr>
        <w:spacing w:line="600" w:lineRule="exact"/>
        <w:rPr>
          <w:rFonts w:hint="eastAsia" w:ascii="宋体" w:hAnsi="宋体"/>
          <w:color w:val="000000"/>
          <w:szCs w:val="21"/>
          <w:highlight w:val="none"/>
        </w:rPr>
      </w:pPr>
    </w:p>
    <w:p w14:paraId="33E3399A">
      <w:pPr>
        <w:spacing w:line="600" w:lineRule="exact"/>
        <w:rPr>
          <w:rFonts w:hint="eastAsia" w:ascii="宋体" w:hAnsi="宋体"/>
          <w:color w:val="000000"/>
          <w:szCs w:val="21"/>
          <w:highlight w:val="none"/>
        </w:rPr>
      </w:pPr>
    </w:p>
    <w:bookmarkEnd w:id="898"/>
    <w:bookmarkEnd w:id="899"/>
    <w:p w14:paraId="3FAE4BF1">
      <w:pPr>
        <w:spacing w:before="312" w:beforeLines="100" w:after="156" w:afterLines="50"/>
        <w:jc w:val="center"/>
        <w:outlineLvl w:val="0"/>
        <w:rPr>
          <w:rFonts w:hint="eastAsia" w:ascii="黑体" w:hAnsi="宋体" w:eastAsia="黑体"/>
          <w:color w:val="000000"/>
          <w:sz w:val="28"/>
          <w:szCs w:val="28"/>
          <w:highlight w:val="none"/>
        </w:rPr>
      </w:pPr>
      <w:bookmarkStart w:id="900" w:name="_Toc149833954"/>
      <w:bookmarkStart w:id="901" w:name="_Toc155799775"/>
      <w:r>
        <w:rPr>
          <w:rFonts w:hint="eastAsia" w:ascii="黑体" w:hAnsi="宋体" w:eastAsia="黑体"/>
          <w:color w:val="000000"/>
          <w:sz w:val="28"/>
          <w:szCs w:val="28"/>
          <w:highlight w:val="none"/>
        </w:rPr>
        <w:t>一、投标函及投标函附录</w:t>
      </w:r>
      <w:bookmarkEnd w:id="900"/>
      <w:bookmarkEnd w:id="901"/>
    </w:p>
    <w:p w14:paraId="7403CA31">
      <w:pPr>
        <w:spacing w:before="312" w:beforeLines="100" w:after="156" w:afterLines="50" w:line="510" w:lineRule="exact"/>
        <w:jc w:val="center"/>
        <w:outlineLvl w:val="0"/>
        <w:rPr>
          <w:rFonts w:hint="eastAsia" w:ascii="黑体" w:hAnsi="宋体" w:eastAsia="黑体"/>
          <w:color w:val="000000"/>
          <w:sz w:val="24"/>
          <w:highlight w:val="none"/>
        </w:rPr>
      </w:pPr>
      <w:bookmarkStart w:id="902" w:name="_Toc149833955"/>
      <w:bookmarkStart w:id="903" w:name="_Toc155799776"/>
      <w:r>
        <w:rPr>
          <w:rFonts w:hint="eastAsia" w:ascii="黑体" w:hAnsi="宋体" w:eastAsia="黑体"/>
          <w:color w:val="000000"/>
          <w:sz w:val="24"/>
          <w:highlight w:val="none"/>
        </w:rPr>
        <w:t>（一）投标函</w:t>
      </w:r>
      <w:bookmarkEnd w:id="902"/>
      <w:bookmarkEnd w:id="903"/>
    </w:p>
    <w:p w14:paraId="2D687432">
      <w:pPr>
        <w:widowControl/>
        <w:spacing w:line="435" w:lineRule="atLeast"/>
        <w:jc w:val="left"/>
        <w:rPr>
          <w:rFonts w:hint="eastAsia" w:ascii="微软雅黑" w:hAnsi="微软雅黑" w:eastAsia="微软雅黑" w:cs="宋体"/>
          <w:color w:val="000000"/>
          <w:kern w:val="0"/>
          <w:szCs w:val="21"/>
          <w:highlight w:val="none"/>
        </w:rPr>
      </w:pPr>
      <w:r>
        <w:rPr>
          <w:rFonts w:eastAsia="微软雅黑"/>
          <w:color w:val="000000"/>
          <w:kern w:val="0"/>
          <w:sz w:val="20"/>
          <w:szCs w:val="20"/>
          <w:highlight w:val="none"/>
        </w:rPr>
        <w:t> </w:t>
      </w:r>
    </w:p>
    <w:p w14:paraId="6B810CED">
      <w:pPr>
        <w:widowControl/>
        <w:spacing w:line="435" w:lineRule="atLeast"/>
        <w:jc w:val="left"/>
        <w:rPr>
          <w:rFonts w:hint="eastAsia" w:ascii="微软雅黑" w:hAnsi="微软雅黑" w:eastAsia="微软雅黑" w:cs="宋体"/>
          <w:color w:val="000000"/>
          <w:kern w:val="0"/>
          <w:szCs w:val="21"/>
          <w:highlight w:val="none"/>
        </w:rPr>
      </w:pPr>
      <w:r>
        <w:rPr>
          <w:rFonts w:ascii="宋体" w:hAnsi="宋体" w:cs="宋体"/>
          <w:color w:val="000000"/>
          <w:kern w:val="0"/>
          <w:szCs w:val="21"/>
          <w:highlight w:val="none"/>
        </w:rPr>
        <w:object>
          <v:shape id="_x0000_i1026" o:spt="201" alt="" type="#_x0000_t201" style="height:18pt;width:61.5pt;" o:ole="t" filled="f" o:preferrelative="t" stroked="f" coordsize="21600,21600">
            <v:path/>
            <v:fill on="f" focussize="0,0"/>
            <v:stroke on="f"/>
            <v:imagedata r:id="rId7" o:title=""/>
            <o:lock v:ext="edit" aspectratio="t"/>
            <w10:wrap type="none"/>
            <w10:anchorlock/>
          </v:shape>
          <w:control r:id="rId6" w:name="DefaultOcxName" w:shapeid="_x0000_i1026"/>
        </w:object>
      </w:r>
      <w:r>
        <w:rPr>
          <w:rFonts w:hint="eastAsia" w:ascii="宋体" w:hAnsi="宋体" w:cs="宋体"/>
          <w:color w:val="000000"/>
          <w:kern w:val="0"/>
          <w:szCs w:val="21"/>
          <w:highlight w:val="none"/>
        </w:rPr>
        <w:t>（招标人名称）：</w:t>
      </w:r>
    </w:p>
    <w:p w14:paraId="6A85F3F1">
      <w:pPr>
        <w:widowControl/>
        <w:spacing w:line="435" w:lineRule="atLeast"/>
        <w:jc w:val="left"/>
        <w:rPr>
          <w:rFonts w:hint="eastAsia" w:ascii="微软雅黑" w:hAnsi="微软雅黑" w:eastAsia="微软雅黑" w:cs="宋体"/>
          <w:color w:val="000000"/>
          <w:kern w:val="0"/>
          <w:szCs w:val="21"/>
          <w:highlight w:val="none"/>
        </w:rPr>
      </w:pPr>
      <w:r>
        <w:rPr>
          <w:rFonts w:eastAsia="微软雅黑"/>
          <w:color w:val="000000"/>
          <w:kern w:val="0"/>
          <w:szCs w:val="21"/>
          <w:highlight w:val="none"/>
        </w:rPr>
        <w:t> </w:t>
      </w:r>
    </w:p>
    <w:p w14:paraId="08CF49EA">
      <w:pPr>
        <w:pStyle w:val="6"/>
        <w:keepNext w:val="0"/>
        <w:keepLines w:val="0"/>
        <w:widowControl/>
        <w:suppressLineNumbers w:val="0"/>
        <w:spacing w:line="450" w:lineRule="atLeast"/>
        <w:jc w:val="left"/>
        <w:rPr>
          <w:rFonts w:hint="eastAsia" w:ascii="微软雅黑" w:hAnsi="微软雅黑" w:eastAsia="微软雅黑" w:cs="宋体"/>
          <w:color w:val="000000"/>
          <w:kern w:val="0"/>
          <w:szCs w:val="21"/>
          <w:highlight w:val="none"/>
        </w:rPr>
      </w:pPr>
      <w:r>
        <w:rPr>
          <w:rFonts w:eastAsia="微软雅黑"/>
          <w:color w:val="000000"/>
          <w:kern w:val="0"/>
          <w:szCs w:val="21"/>
          <w:highlight w:val="none"/>
        </w:rPr>
        <w:t>    1</w:t>
      </w:r>
      <w:r>
        <w:rPr>
          <w:rFonts w:hint="eastAsia" w:ascii="宋体" w:hAnsi="宋体" w:cs="宋体"/>
          <w:color w:val="000000"/>
          <w:kern w:val="0"/>
          <w:szCs w:val="21"/>
          <w:highlight w:val="none"/>
        </w:rPr>
        <w:t>．我方已仔细研究了</w:t>
      </w:r>
      <w:r>
        <w:rPr>
          <w:rFonts w:ascii="宋体" w:hAnsi="宋体" w:cs="宋体"/>
          <w:color w:val="000000"/>
          <w:kern w:val="0"/>
          <w:szCs w:val="21"/>
          <w:highlight w:val="none"/>
        </w:rPr>
        <w:object>
          <v:shape id="_x0000_i1027" o:spt="201" alt="" type="#_x0000_t201" style="height:18pt;width:61.5pt;" o:ole="t" filled="f" o:preferrelative="t" stroked="f" coordsize="21600,21600">
            <v:path/>
            <v:fill on="f" focussize="0,0"/>
            <v:stroke on="f"/>
            <v:imagedata r:id="rId9" o:title=""/>
            <o:lock v:ext="edit" aspectratio="t"/>
            <w10:wrap type="none"/>
            <w10:anchorlock/>
          </v:shape>
          <w:control r:id="rId8" w:name="DefaultOcxName1" w:shapeid="_x0000_i1027"/>
        </w:object>
      </w:r>
      <w:r>
        <w:rPr>
          <w:rFonts w:hint="eastAsia" w:ascii="宋体" w:hAnsi="宋体" w:cs="宋体"/>
          <w:color w:val="000000"/>
          <w:kern w:val="0"/>
          <w:szCs w:val="21"/>
          <w:highlight w:val="none"/>
        </w:rPr>
        <w:t>（项目名称</w:t>
      </w:r>
      <w:r>
        <w:rPr>
          <w:rFonts w:hint="eastAsia" w:ascii="宋体" w:hAnsi="宋体" w:cs="宋体"/>
          <w:color w:val="000000"/>
          <w:kern w:val="0"/>
          <w:szCs w:val="21"/>
          <w:highlight w:val="none"/>
          <w:lang w:val="en-US" w:eastAsia="zh-CN"/>
        </w:rPr>
        <w:t>及标段</w:t>
      </w:r>
      <w:r>
        <w:rPr>
          <w:rFonts w:hint="eastAsia" w:ascii="宋体" w:hAnsi="宋体" w:cs="宋体"/>
          <w:color w:val="000000"/>
          <w:kern w:val="0"/>
          <w:szCs w:val="21"/>
          <w:highlight w:val="none"/>
        </w:rPr>
        <w:t>）招标文件的全部内容，愿意以人民币（大写）</w:t>
      </w:r>
      <w:r>
        <w:rPr>
          <w:rFonts w:ascii="宋体" w:hAnsi="宋体" w:cs="宋体"/>
          <w:color w:val="000000"/>
          <w:kern w:val="0"/>
          <w:szCs w:val="21"/>
          <w:highlight w:val="none"/>
        </w:rPr>
        <w:object>
          <v:shape id="_x0000_i1028" o:spt="201" alt="" type="#_x0000_t201" style="height:18pt;width:61.5pt;" o:ole="t" filled="f" o:preferrelative="t" stroked="f" coordsize="21600,21600">
            <v:path/>
            <v:fill on="f" focussize="0,0"/>
            <v:stroke on="f"/>
            <v:imagedata r:id="rId11" o:title=""/>
            <o:lock v:ext="edit" aspectratio="t"/>
            <w10:wrap type="none"/>
            <w10:anchorlock/>
          </v:shape>
          <w:control r:id="rId10" w:name="DefaultOcxName2" w:shapeid="_x0000_i1028"/>
        </w:object>
      </w:r>
      <w:r>
        <w:rPr>
          <w:rFonts w:hint="eastAsia" w:ascii="宋体" w:hAnsi="宋体" w:cs="宋体"/>
          <w:color w:val="000000"/>
          <w:kern w:val="0"/>
          <w:szCs w:val="21"/>
          <w:highlight w:val="none"/>
        </w:rPr>
        <w:t>（小写</w:t>
      </w:r>
      <w:r>
        <w:rPr>
          <w:rFonts w:eastAsia="微软雅黑"/>
          <w:color w:val="000000"/>
          <w:kern w:val="0"/>
          <w:szCs w:val="21"/>
          <w:highlight w:val="none"/>
        </w:rPr>
        <w:t> </w:t>
      </w:r>
      <w:r>
        <w:rPr>
          <w:rFonts w:eastAsia="微软雅黑"/>
          <w:color w:val="000000"/>
          <w:kern w:val="0"/>
          <w:szCs w:val="21"/>
          <w:highlight w:val="none"/>
        </w:rPr>
        <w:object>
          <v:shape id="_x0000_i1029" o:spt="201" alt="" type="#_x0000_t201" style="height:18pt;width:72pt;" o:ole="t" filled="f" o:preferrelative="t" stroked="f" coordsize="21600,21600">
            <v:path/>
            <v:fill on="f" focussize="0,0"/>
            <v:stroke on="f"/>
            <v:imagedata r:id="rId13" o:title=""/>
            <o:lock v:ext="edit" aspectratio="t"/>
            <w10:wrap type="none"/>
            <w10:anchorlock/>
          </v:shape>
          <w:control r:id="rId12" w:name="DefaultOcxName3" w:shapeid="_x0000_i1029"/>
        </w:object>
      </w:r>
      <w:r>
        <w:rPr>
          <w:rFonts w:hint="eastAsia" w:ascii="宋体" w:hAnsi="宋体"/>
          <w:color w:val="000000"/>
          <w:kern w:val="0"/>
          <w:szCs w:val="21"/>
          <w:highlight w:val="none"/>
        </w:rPr>
        <w:t>元</w:t>
      </w:r>
      <w:r>
        <w:rPr>
          <w:rFonts w:hint="eastAsia" w:ascii="宋体" w:hAnsi="宋体" w:cs="宋体"/>
          <w:color w:val="000000"/>
          <w:kern w:val="0"/>
          <w:szCs w:val="21"/>
          <w:highlight w:val="none"/>
        </w:rPr>
        <w:t>）的投标报价，计划工期</w:t>
      </w:r>
      <w:r>
        <w:rPr>
          <w:rFonts w:ascii="宋体" w:hAnsi="宋体" w:cs="宋体"/>
          <w:color w:val="000000"/>
          <w:kern w:val="0"/>
          <w:szCs w:val="21"/>
          <w:highlight w:val="none"/>
        </w:rPr>
        <w:object>
          <v:shape id="_x0000_i1030" o:spt="201" alt="" type="#_x0000_t201" style="height:18pt;width:61.5pt;" o:ole="t" filled="f" o:preferrelative="t" stroked="f" coordsize="21600,21600">
            <v:path/>
            <v:fill on="f" focussize="0,0"/>
            <v:stroke on="f"/>
            <v:imagedata r:id="rId15" o:title=""/>
            <o:lock v:ext="edit" aspectratio="t"/>
            <w10:wrap type="none"/>
            <w10:anchorlock/>
          </v:shape>
          <w:control r:id="rId14" w:name="DefaultOcxName4" w:shapeid="_x0000_i1030"/>
        </w:object>
      </w:r>
      <w:r>
        <w:rPr>
          <w:rFonts w:hint="eastAsia" w:ascii="宋体" w:hAnsi="宋体" w:cs="宋体"/>
          <w:color w:val="000000"/>
          <w:kern w:val="0"/>
          <w:szCs w:val="21"/>
          <w:highlight w:val="none"/>
        </w:rPr>
        <w:t>，按合同约定实施和完成承包工程，修补工程中的任何缺陷，质量标准达到</w:t>
      </w:r>
      <w:r>
        <w:rPr>
          <w:rFonts w:ascii="宋体" w:hAnsi="宋体" w:cs="宋体"/>
          <w:color w:val="000000"/>
          <w:kern w:val="0"/>
          <w:szCs w:val="21"/>
          <w:highlight w:val="none"/>
        </w:rPr>
        <w:object>
          <v:shape id="_x0000_i1031" o:spt="201" alt="" type="#_x0000_t201" style="height:18pt;width:61.5pt;" o:ole="t" filled="f" o:preferrelative="t" stroked="f" coordsize="21600,21600">
            <v:path/>
            <v:fill on="f" focussize="0,0"/>
            <v:stroke on="f"/>
            <v:imagedata r:id="rId17" o:title=""/>
            <o:lock v:ext="edit" aspectratio="t"/>
            <w10:wrap type="none"/>
            <w10:anchorlock/>
          </v:shape>
          <w:control r:id="rId16" w:name="DefaultOcxName5" w:shapeid="_x0000_i1031"/>
        </w:object>
      </w:r>
      <w:r>
        <w:rPr>
          <w:rFonts w:hint="eastAsia" w:ascii="宋体" w:hAnsi="宋体" w:cs="宋体"/>
          <w:color w:val="000000"/>
          <w:kern w:val="0"/>
          <w:szCs w:val="21"/>
          <w:highlight w:val="none"/>
        </w:rPr>
        <w:t>。</w:t>
      </w:r>
    </w:p>
    <w:p w14:paraId="33B2515B">
      <w:pPr>
        <w:widowControl/>
        <w:spacing w:line="435" w:lineRule="atLeast"/>
        <w:ind w:firstLine="420"/>
        <w:jc w:val="left"/>
        <w:rPr>
          <w:rFonts w:hint="eastAsia" w:ascii="微软雅黑" w:hAnsi="微软雅黑" w:eastAsia="微软雅黑" w:cs="宋体"/>
          <w:color w:val="000000"/>
          <w:kern w:val="0"/>
          <w:szCs w:val="21"/>
          <w:highlight w:val="none"/>
        </w:rPr>
      </w:pPr>
      <w:r>
        <w:rPr>
          <w:rFonts w:eastAsia="微软雅黑"/>
          <w:color w:val="000000"/>
          <w:kern w:val="0"/>
          <w:szCs w:val="21"/>
          <w:highlight w:val="none"/>
        </w:rPr>
        <w:t>2</w:t>
      </w:r>
      <w:r>
        <w:rPr>
          <w:rFonts w:hint="eastAsia" w:ascii="宋体" w:hAnsi="宋体" w:cs="宋体"/>
          <w:color w:val="000000"/>
          <w:kern w:val="0"/>
          <w:szCs w:val="21"/>
          <w:highlight w:val="none"/>
        </w:rPr>
        <w:t>．我方承诺在投标有效期内不修改、撤销投标文件。</w:t>
      </w:r>
    </w:p>
    <w:p w14:paraId="22C2249C">
      <w:pPr>
        <w:widowControl/>
        <w:spacing w:line="435" w:lineRule="atLeast"/>
        <w:ind w:firstLine="420"/>
        <w:jc w:val="left"/>
        <w:rPr>
          <w:rFonts w:hint="eastAsia" w:ascii="微软雅黑" w:hAnsi="微软雅黑" w:eastAsia="微软雅黑" w:cs="宋体"/>
          <w:color w:val="000000"/>
          <w:kern w:val="0"/>
          <w:szCs w:val="21"/>
          <w:highlight w:val="none"/>
        </w:rPr>
      </w:pPr>
      <w:r>
        <w:rPr>
          <w:rFonts w:eastAsia="微软雅黑"/>
          <w:color w:val="000000"/>
          <w:kern w:val="0"/>
          <w:szCs w:val="21"/>
          <w:highlight w:val="none"/>
        </w:rPr>
        <w:t>3</w:t>
      </w:r>
      <w:r>
        <w:rPr>
          <w:rFonts w:hint="eastAsia" w:ascii="宋体" w:hAnsi="宋体" w:cs="宋体"/>
          <w:color w:val="000000"/>
          <w:kern w:val="0"/>
          <w:szCs w:val="21"/>
          <w:highlight w:val="none"/>
        </w:rPr>
        <w:t>．随同本投标函提交投标保证金一份，金额为人民币（大写）</w:t>
      </w:r>
      <w:r>
        <w:rPr>
          <w:rFonts w:ascii="宋体" w:hAnsi="宋体" w:cs="宋体"/>
          <w:color w:val="000000"/>
          <w:kern w:val="0"/>
          <w:szCs w:val="21"/>
          <w:highlight w:val="none"/>
        </w:rPr>
        <w:object>
          <v:shape id="_x0000_i1032" o:spt="201" alt="" type="#_x0000_t201" style="height:18pt;width:61.5pt;" o:ole="t" filled="f" o:preferrelative="t" stroked="f" coordsize="21600,21600">
            <v:path/>
            <v:fill on="f" focussize="0,0"/>
            <v:stroke on="f"/>
            <v:imagedata r:id="rId19" o:title=""/>
            <o:lock v:ext="edit" aspectratio="t"/>
            <w10:wrap type="none"/>
            <w10:anchorlock/>
          </v:shape>
          <w:control r:id="rId18" w:name="DefaultOcxName6" w:shapeid="_x0000_i1032"/>
        </w:object>
      </w:r>
      <w:r>
        <w:rPr>
          <w:rFonts w:hint="eastAsia" w:ascii="宋体" w:hAnsi="宋体" w:cs="宋体"/>
          <w:color w:val="000000"/>
          <w:kern w:val="0"/>
          <w:szCs w:val="21"/>
          <w:highlight w:val="none"/>
        </w:rPr>
        <w:t>（小写</w:t>
      </w:r>
      <w:r>
        <w:rPr>
          <w:rFonts w:ascii="宋体" w:hAnsi="宋体" w:cs="宋体"/>
          <w:color w:val="000000"/>
          <w:kern w:val="0"/>
          <w:szCs w:val="21"/>
          <w:highlight w:val="none"/>
        </w:rPr>
        <w:object>
          <v:shape id="_x0000_i1033" o:spt="201" alt="" type="#_x0000_t201" style="height:18pt;width:61.5pt;" o:ole="t" filled="f" o:preferrelative="t" stroked="f" coordsize="21600,21600">
            <v:path/>
            <v:fill on="f" focussize="0,0"/>
            <v:stroke on="f"/>
            <v:imagedata r:id="rId21" o:title=""/>
            <o:lock v:ext="edit" aspectratio="t"/>
            <w10:wrap type="none"/>
            <w10:anchorlock/>
          </v:shape>
          <w:control r:id="rId20" w:name="DefaultOcxName7" w:shapeid="_x0000_i1033"/>
        </w:object>
      </w:r>
      <w:r>
        <w:rPr>
          <w:rFonts w:hint="eastAsia" w:ascii="宋体" w:hAnsi="宋体" w:cs="宋体"/>
          <w:color w:val="000000"/>
          <w:kern w:val="0"/>
          <w:szCs w:val="21"/>
          <w:highlight w:val="none"/>
        </w:rPr>
        <w:t>元</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t>
      </w:r>
    </w:p>
    <w:p w14:paraId="216C98F9">
      <w:pPr>
        <w:widowControl/>
        <w:spacing w:line="435" w:lineRule="atLeast"/>
        <w:ind w:firstLine="420"/>
        <w:jc w:val="left"/>
        <w:rPr>
          <w:rFonts w:hint="eastAsia" w:ascii="微软雅黑" w:hAnsi="微软雅黑" w:eastAsia="微软雅黑" w:cs="宋体"/>
          <w:color w:val="000000"/>
          <w:kern w:val="0"/>
          <w:szCs w:val="21"/>
          <w:highlight w:val="none"/>
        </w:rPr>
      </w:pPr>
      <w:r>
        <w:rPr>
          <w:rFonts w:eastAsia="微软雅黑"/>
          <w:color w:val="000000"/>
          <w:kern w:val="0"/>
          <w:szCs w:val="21"/>
          <w:highlight w:val="none"/>
        </w:rPr>
        <w:t>4</w:t>
      </w:r>
      <w:r>
        <w:rPr>
          <w:rFonts w:hint="eastAsia" w:ascii="宋体" w:hAnsi="宋体" w:cs="宋体"/>
          <w:color w:val="000000"/>
          <w:kern w:val="0"/>
          <w:szCs w:val="21"/>
          <w:highlight w:val="none"/>
        </w:rPr>
        <w:t>．如我方中标：</w:t>
      </w:r>
    </w:p>
    <w:p w14:paraId="1851C1A6">
      <w:pPr>
        <w:widowControl/>
        <w:spacing w:line="435" w:lineRule="atLeast"/>
        <w:ind w:firstLine="720"/>
        <w:jc w:val="left"/>
        <w:rPr>
          <w:rFonts w:hint="eastAsia" w:ascii="微软雅黑" w:hAnsi="微软雅黑" w:eastAsia="微软雅黑" w:cs="宋体"/>
          <w:color w:val="000000"/>
          <w:kern w:val="0"/>
          <w:szCs w:val="21"/>
          <w:highlight w:val="none"/>
        </w:rPr>
      </w:pPr>
      <w:r>
        <w:rPr>
          <w:rFonts w:hint="eastAsia" w:ascii="宋体" w:hAnsi="宋体" w:cs="宋体"/>
          <w:color w:val="000000"/>
          <w:kern w:val="0"/>
          <w:szCs w:val="21"/>
          <w:highlight w:val="none"/>
        </w:rPr>
        <w:t>（</w:t>
      </w:r>
      <w:r>
        <w:rPr>
          <w:rFonts w:eastAsia="微软雅黑"/>
          <w:color w:val="000000"/>
          <w:kern w:val="0"/>
          <w:szCs w:val="21"/>
          <w:highlight w:val="none"/>
        </w:rPr>
        <w:t>1</w:t>
      </w:r>
      <w:r>
        <w:rPr>
          <w:rFonts w:hint="eastAsia" w:ascii="宋体" w:hAnsi="宋体" w:cs="宋体"/>
          <w:color w:val="000000"/>
          <w:kern w:val="0"/>
          <w:szCs w:val="21"/>
          <w:highlight w:val="none"/>
        </w:rPr>
        <w:t>）我方承诺在收到中标通知书后，在中标通知书规定的期限内与你方签订合同。</w:t>
      </w:r>
    </w:p>
    <w:p w14:paraId="6B985EEC">
      <w:pPr>
        <w:widowControl/>
        <w:spacing w:line="435" w:lineRule="atLeast"/>
        <w:ind w:firstLine="720"/>
        <w:jc w:val="left"/>
        <w:rPr>
          <w:rFonts w:hint="eastAsia" w:ascii="微软雅黑" w:hAnsi="微软雅黑" w:eastAsia="微软雅黑" w:cs="宋体"/>
          <w:color w:val="000000"/>
          <w:kern w:val="0"/>
          <w:szCs w:val="21"/>
          <w:highlight w:val="none"/>
        </w:rPr>
      </w:pPr>
      <w:r>
        <w:rPr>
          <w:rFonts w:hint="eastAsia" w:ascii="宋体" w:hAnsi="宋体" w:cs="宋体"/>
          <w:color w:val="000000"/>
          <w:kern w:val="0"/>
          <w:szCs w:val="21"/>
          <w:highlight w:val="none"/>
        </w:rPr>
        <w:t>（</w:t>
      </w:r>
      <w:r>
        <w:rPr>
          <w:rFonts w:eastAsia="微软雅黑"/>
          <w:color w:val="000000"/>
          <w:kern w:val="0"/>
          <w:szCs w:val="21"/>
          <w:highlight w:val="none"/>
        </w:rPr>
        <w:t>2</w:t>
      </w:r>
      <w:r>
        <w:rPr>
          <w:rFonts w:hint="eastAsia" w:ascii="宋体" w:hAnsi="宋体" w:cs="宋体"/>
          <w:color w:val="000000"/>
          <w:kern w:val="0"/>
          <w:szCs w:val="21"/>
          <w:highlight w:val="none"/>
        </w:rPr>
        <w:t>）随同本投标函递交的投标函附录属于合同文件的组成部分。</w:t>
      </w:r>
    </w:p>
    <w:p w14:paraId="467C2BDF">
      <w:pPr>
        <w:widowControl/>
        <w:spacing w:line="435" w:lineRule="atLeast"/>
        <w:ind w:firstLine="720"/>
        <w:jc w:val="left"/>
        <w:rPr>
          <w:rFonts w:hint="eastAsia" w:ascii="微软雅黑" w:hAnsi="微软雅黑" w:eastAsia="微软雅黑" w:cs="宋体"/>
          <w:color w:val="000000"/>
          <w:kern w:val="0"/>
          <w:szCs w:val="21"/>
          <w:highlight w:val="none"/>
        </w:rPr>
      </w:pPr>
      <w:r>
        <w:rPr>
          <w:rFonts w:hint="eastAsia" w:ascii="宋体" w:hAnsi="宋体" w:cs="宋体"/>
          <w:color w:val="000000"/>
          <w:kern w:val="0"/>
          <w:szCs w:val="21"/>
          <w:highlight w:val="none"/>
        </w:rPr>
        <w:t>（</w:t>
      </w:r>
      <w:r>
        <w:rPr>
          <w:rFonts w:eastAsia="微软雅黑"/>
          <w:color w:val="000000"/>
          <w:kern w:val="0"/>
          <w:szCs w:val="21"/>
          <w:highlight w:val="none"/>
        </w:rPr>
        <w:t>3</w:t>
      </w:r>
      <w:r>
        <w:rPr>
          <w:rFonts w:hint="eastAsia" w:ascii="宋体" w:hAnsi="宋体" w:cs="宋体"/>
          <w:color w:val="000000"/>
          <w:kern w:val="0"/>
          <w:szCs w:val="21"/>
          <w:highlight w:val="none"/>
        </w:rPr>
        <w:t>）我方承诺在合同约定的期限内完成并移交全部合同工程。</w:t>
      </w:r>
    </w:p>
    <w:p w14:paraId="07D013A3">
      <w:pPr>
        <w:widowControl/>
        <w:spacing w:line="435" w:lineRule="atLeast"/>
        <w:ind w:firstLine="420"/>
        <w:jc w:val="left"/>
        <w:rPr>
          <w:rFonts w:hint="eastAsia" w:ascii="宋体" w:hAnsi="宋体" w:cs="宋体"/>
          <w:color w:val="000000"/>
          <w:kern w:val="0"/>
          <w:szCs w:val="21"/>
          <w:highlight w:val="none"/>
        </w:rPr>
      </w:pPr>
      <w:r>
        <w:rPr>
          <w:rFonts w:eastAsia="微软雅黑"/>
          <w:color w:val="000000"/>
          <w:kern w:val="0"/>
          <w:szCs w:val="21"/>
          <w:highlight w:val="none"/>
        </w:rPr>
        <w:t>5</w:t>
      </w:r>
      <w:r>
        <w:rPr>
          <w:rFonts w:hint="eastAsia" w:ascii="宋体" w:hAnsi="宋体" w:cs="宋体"/>
          <w:color w:val="000000"/>
          <w:kern w:val="0"/>
          <w:szCs w:val="21"/>
          <w:highlight w:val="none"/>
        </w:rPr>
        <w:t>．我方在此声明，所递交的投标文件及有关资料内容完整、真实和准确，且不存在第二章“投标人须知”第1.4.3项规定的任何一种情形。</w:t>
      </w:r>
    </w:p>
    <w:p w14:paraId="3F33E7FD">
      <w:pPr>
        <w:widowControl/>
        <w:spacing w:line="435" w:lineRule="atLeast"/>
        <w:ind w:firstLine="420"/>
        <w:jc w:val="left"/>
        <w:rPr>
          <w:rFonts w:hint="eastAsia" w:ascii="宋体" w:hAnsi="宋体" w:cs="宋体"/>
          <w:color w:val="000000"/>
          <w:kern w:val="0"/>
          <w:szCs w:val="21"/>
          <w:highlight w:val="none"/>
        </w:rPr>
      </w:pPr>
    </w:p>
    <w:p w14:paraId="20C87BC0">
      <w:pPr>
        <w:widowControl/>
        <w:spacing w:line="435" w:lineRule="atLeast"/>
        <w:ind w:firstLine="420"/>
        <w:jc w:val="left"/>
        <w:rPr>
          <w:rFonts w:hint="eastAsia" w:ascii="微软雅黑" w:hAnsi="微软雅黑" w:eastAsia="微软雅黑" w:cs="宋体"/>
          <w:color w:val="000000"/>
          <w:kern w:val="0"/>
          <w:szCs w:val="21"/>
          <w:highlight w:val="none"/>
        </w:rPr>
      </w:pPr>
    </w:p>
    <w:p w14:paraId="75CFDA81">
      <w:pPr>
        <w:widowControl/>
        <w:spacing w:line="435" w:lineRule="atLeast"/>
        <w:ind w:firstLine="5880" w:firstLineChars="2800"/>
        <w:jc w:val="left"/>
        <w:rPr>
          <w:rFonts w:hint="eastAsia" w:ascii="宋体" w:hAnsi="宋体"/>
          <w:color w:val="000000"/>
          <w:kern w:val="0"/>
          <w:szCs w:val="21"/>
          <w:highlight w:val="none"/>
        </w:rPr>
      </w:pPr>
      <w:r>
        <w:rPr>
          <w:rFonts w:hint="eastAsia" w:ascii="宋体" w:hAnsi="宋体"/>
          <w:color w:val="000000"/>
          <w:kern w:val="0"/>
          <w:szCs w:val="21"/>
          <w:highlight w:val="none"/>
        </w:rPr>
        <w:t>投标人：（电子签章）</w:t>
      </w:r>
    </w:p>
    <w:p w14:paraId="0A9AE553">
      <w:pPr>
        <w:widowControl/>
        <w:spacing w:line="435" w:lineRule="atLeast"/>
        <w:jc w:val="left"/>
        <w:rPr>
          <w:rFonts w:hint="eastAsia" w:ascii="微软雅黑" w:hAnsi="微软雅黑" w:eastAsia="微软雅黑" w:cs="宋体"/>
          <w:color w:val="000000"/>
          <w:kern w:val="0"/>
          <w:szCs w:val="21"/>
          <w:highlight w:val="none"/>
        </w:rPr>
      </w:pPr>
      <w:r>
        <w:rPr>
          <w:rFonts w:eastAsia="微软雅黑"/>
          <w:color w:val="000000"/>
          <w:kern w:val="0"/>
          <w:szCs w:val="21"/>
          <w:highlight w:val="none"/>
        </w:rPr>
        <w:t> </w:t>
      </w:r>
    </w:p>
    <w:p w14:paraId="1E18EA45">
      <w:pPr>
        <w:widowControl/>
        <w:spacing w:line="435" w:lineRule="atLeast"/>
        <w:ind w:firstLine="2100" w:firstLineChars="1000"/>
        <w:jc w:val="left"/>
        <w:rPr>
          <w:rFonts w:hint="eastAsia" w:ascii="微软雅黑" w:hAnsi="微软雅黑" w:eastAsia="微软雅黑" w:cs="宋体"/>
          <w:color w:val="000000"/>
          <w:kern w:val="0"/>
          <w:szCs w:val="21"/>
          <w:highlight w:val="none"/>
        </w:rPr>
      </w:pPr>
      <w:r>
        <w:rPr>
          <w:rFonts w:ascii="宋体" w:hAnsi="宋体" w:cs="宋体"/>
          <w:color w:val="000000"/>
          <w:kern w:val="0"/>
          <w:szCs w:val="21"/>
          <w:highlight w:val="none"/>
        </w:rPr>
        <w:object>
          <v:shape id="_x0000_i1034" o:spt="201" alt="" type="#_x0000_t201" style="height:18pt;width:61.5pt;" o:ole="t" filled="f" o:preferrelative="t" stroked="f" coordsize="21600,21600">
            <v:path/>
            <v:fill on="f" focussize="0,0"/>
            <v:stroke on="f"/>
            <v:imagedata r:id="rId23" o:title=""/>
            <o:lock v:ext="edit" aspectratio="t"/>
            <w10:wrap type="none"/>
            <w10:anchorlock/>
          </v:shape>
          <w:control r:id="rId22" w:name="DefaultOcxName8" w:shapeid="_x0000_i1034"/>
        </w:object>
      </w:r>
      <w:r>
        <w:rPr>
          <w:rFonts w:hint="eastAsia" w:ascii="宋体" w:hAnsi="宋体" w:cs="宋体"/>
          <w:color w:val="000000"/>
          <w:kern w:val="0"/>
          <w:szCs w:val="21"/>
          <w:highlight w:val="none"/>
        </w:rPr>
        <w:t>年</w:t>
      </w:r>
      <w:r>
        <w:rPr>
          <w:rFonts w:ascii="宋体" w:hAnsi="宋体" w:cs="宋体"/>
          <w:color w:val="000000"/>
          <w:kern w:val="0"/>
          <w:szCs w:val="21"/>
          <w:highlight w:val="none"/>
        </w:rPr>
        <w:object>
          <v:shape id="_x0000_i1035" o:spt="201" alt="" type="#_x0000_t201" style="height:18pt;width:61.5pt;" o:ole="t" filled="f" o:preferrelative="t" stroked="f" coordsize="21600,21600">
            <v:path/>
            <v:fill on="f" focussize="0,0"/>
            <v:stroke on="f"/>
            <v:imagedata r:id="rId25" o:title=""/>
            <o:lock v:ext="edit" aspectratio="t"/>
            <w10:wrap type="none"/>
            <w10:anchorlock/>
          </v:shape>
          <w:control r:id="rId24" w:name="DefaultOcxName9" w:shapeid="_x0000_i1035"/>
        </w:object>
      </w:r>
      <w:r>
        <w:rPr>
          <w:rFonts w:hint="eastAsia" w:ascii="宋体" w:hAnsi="宋体" w:cs="宋体"/>
          <w:color w:val="000000"/>
          <w:kern w:val="0"/>
          <w:szCs w:val="21"/>
          <w:highlight w:val="none"/>
        </w:rPr>
        <w:t>月</w:t>
      </w:r>
      <w:r>
        <w:rPr>
          <w:rFonts w:ascii="宋体" w:hAnsi="宋体" w:cs="宋体"/>
          <w:color w:val="000000"/>
          <w:kern w:val="0"/>
          <w:szCs w:val="21"/>
          <w:highlight w:val="none"/>
        </w:rPr>
        <w:object>
          <v:shape id="_x0000_i1036" o:spt="201" alt="" type="#_x0000_t201" style="height:18pt;width:61.5pt;" o:ole="t" filled="f" o:preferrelative="t" stroked="f" coordsize="21600,21600">
            <v:path/>
            <v:fill on="f" focussize="0,0"/>
            <v:stroke on="f"/>
            <v:imagedata r:id="rId27" o:title=""/>
            <o:lock v:ext="edit" aspectratio="t"/>
            <w10:wrap type="none"/>
            <w10:anchorlock/>
          </v:shape>
          <w:control r:id="rId26" w:name="DefaultOcxName10" w:shapeid="_x0000_i1036"/>
        </w:object>
      </w:r>
      <w:r>
        <w:rPr>
          <w:rFonts w:hint="eastAsia" w:ascii="宋体" w:hAnsi="宋体" w:cs="宋体"/>
          <w:color w:val="000000"/>
          <w:kern w:val="0"/>
          <w:szCs w:val="21"/>
          <w:highlight w:val="none"/>
        </w:rPr>
        <w:t>日</w:t>
      </w:r>
    </w:p>
    <w:p w14:paraId="55BF5FD7">
      <w:pPr>
        <w:spacing w:line="480" w:lineRule="exact"/>
        <w:ind w:firstLine="420" w:firstLineChars="200"/>
        <w:rPr>
          <w:rFonts w:hint="eastAsia" w:ascii="宋体" w:hAnsi="宋体"/>
          <w:color w:val="000000"/>
          <w:szCs w:val="21"/>
          <w:highlight w:val="none"/>
        </w:rPr>
      </w:pPr>
    </w:p>
    <w:p w14:paraId="067ECDFE">
      <w:pPr>
        <w:spacing w:line="480" w:lineRule="exact"/>
        <w:ind w:firstLine="420" w:firstLineChars="200"/>
        <w:rPr>
          <w:rFonts w:hint="eastAsia" w:ascii="宋体" w:hAnsi="宋体"/>
          <w:color w:val="000000"/>
          <w:szCs w:val="21"/>
          <w:highlight w:val="none"/>
        </w:rPr>
      </w:pPr>
    </w:p>
    <w:p w14:paraId="2FAE41D9">
      <w:pPr>
        <w:spacing w:line="480" w:lineRule="exact"/>
        <w:rPr>
          <w:rFonts w:hint="eastAsia" w:ascii="宋体" w:hAnsi="宋体"/>
          <w:color w:val="000000"/>
          <w:szCs w:val="21"/>
          <w:highlight w:val="none"/>
        </w:rPr>
      </w:pPr>
    </w:p>
    <w:p w14:paraId="30A19571">
      <w:pPr>
        <w:spacing w:before="312" w:beforeLines="100" w:after="156" w:afterLines="50" w:line="510" w:lineRule="exact"/>
        <w:jc w:val="center"/>
        <w:outlineLvl w:val="0"/>
        <w:rPr>
          <w:rFonts w:hint="eastAsia" w:ascii="黑体" w:hAnsi="宋体" w:eastAsia="黑体"/>
          <w:color w:val="000000"/>
          <w:sz w:val="24"/>
          <w:highlight w:val="none"/>
        </w:rPr>
      </w:pPr>
      <w:bookmarkStart w:id="904" w:name="_Toc149833956"/>
      <w:bookmarkStart w:id="905" w:name="_Toc155799777"/>
      <w:r>
        <w:rPr>
          <w:rFonts w:hint="eastAsia" w:ascii="黑体" w:hAnsi="宋体" w:eastAsia="黑体"/>
          <w:color w:val="000000"/>
          <w:sz w:val="24"/>
          <w:highlight w:val="none"/>
        </w:rPr>
        <w:t>（二）投标函附录</w:t>
      </w:r>
      <w:bookmarkEnd w:id="904"/>
      <w:bookmarkEnd w:id="905"/>
    </w:p>
    <w:tbl>
      <w:tblPr>
        <w:tblStyle w:val="8"/>
        <w:tblW w:w="0" w:type="auto"/>
        <w:jc w:val="center"/>
        <w:tblLayout w:type="fixed"/>
        <w:tblCellMar>
          <w:top w:w="0" w:type="dxa"/>
          <w:left w:w="108" w:type="dxa"/>
          <w:bottom w:w="0" w:type="dxa"/>
          <w:right w:w="108" w:type="dxa"/>
        </w:tblCellMar>
      </w:tblPr>
      <w:tblGrid>
        <w:gridCol w:w="839"/>
        <w:gridCol w:w="772"/>
        <w:gridCol w:w="524"/>
        <w:gridCol w:w="2238"/>
        <w:gridCol w:w="4272"/>
      </w:tblGrid>
      <w:tr w14:paraId="4F3A1015">
        <w:tblPrEx>
          <w:tblCellMar>
            <w:top w:w="0" w:type="dxa"/>
            <w:left w:w="108" w:type="dxa"/>
            <w:bottom w:w="0" w:type="dxa"/>
            <w:right w:w="108" w:type="dxa"/>
          </w:tblCellMar>
        </w:tblPrEx>
        <w:trPr>
          <w:trHeight w:val="551" w:hRule="atLeast"/>
          <w:jc w:val="center"/>
        </w:trPr>
        <w:tc>
          <w:tcPr>
            <w:tcW w:w="839" w:type="dxa"/>
            <w:tcBorders>
              <w:top w:val="single" w:color="auto" w:sz="4" w:space="0"/>
              <w:left w:val="single" w:color="auto" w:sz="4" w:space="0"/>
              <w:bottom w:val="single" w:color="auto" w:sz="4" w:space="0"/>
              <w:right w:val="nil"/>
            </w:tcBorders>
            <w:noWrap w:val="0"/>
            <w:vAlign w:val="center"/>
          </w:tcPr>
          <w:p w14:paraId="0610FDDD">
            <w:pPr>
              <w:rPr>
                <w:color w:val="000000"/>
                <w:highlight w:val="none"/>
              </w:rPr>
            </w:pPr>
            <w:bookmarkStart w:id="906" w:name="_Toc258441081"/>
            <w:bookmarkStart w:id="907" w:name="_Toc298522708"/>
            <w:bookmarkStart w:id="908" w:name="_Toc298522540"/>
            <w:bookmarkStart w:id="909" w:name="_Toc258440232"/>
            <w:bookmarkStart w:id="910" w:name="_Toc258505710"/>
            <w:bookmarkStart w:id="911" w:name="_Toc258431082"/>
            <w:r>
              <w:rPr>
                <w:rFonts w:hint="eastAsia"/>
                <w:color w:val="000000"/>
                <w:highlight w:val="none"/>
              </w:rPr>
              <w:t>序号</w:t>
            </w:r>
          </w:p>
        </w:tc>
        <w:tc>
          <w:tcPr>
            <w:tcW w:w="3534" w:type="dxa"/>
            <w:gridSpan w:val="3"/>
            <w:tcBorders>
              <w:top w:val="single" w:color="auto" w:sz="6" w:space="0"/>
              <w:left w:val="single" w:color="auto" w:sz="6" w:space="0"/>
              <w:bottom w:val="single" w:color="auto" w:sz="6" w:space="0"/>
              <w:right w:val="single" w:color="auto" w:sz="6" w:space="0"/>
            </w:tcBorders>
            <w:noWrap w:val="0"/>
            <w:vAlign w:val="center"/>
          </w:tcPr>
          <w:p w14:paraId="406C9C08">
            <w:pPr>
              <w:rPr>
                <w:color w:val="000000"/>
                <w:highlight w:val="none"/>
              </w:rPr>
            </w:pPr>
            <w:r>
              <w:rPr>
                <w:rFonts w:hint="eastAsia"/>
                <w:color w:val="000000"/>
                <w:highlight w:val="none"/>
              </w:rPr>
              <w:t>项目名称</w:t>
            </w:r>
          </w:p>
        </w:tc>
        <w:tc>
          <w:tcPr>
            <w:tcW w:w="4272" w:type="dxa"/>
            <w:tcBorders>
              <w:top w:val="single" w:color="auto" w:sz="6" w:space="0"/>
              <w:left w:val="single" w:color="auto" w:sz="6" w:space="0"/>
              <w:bottom w:val="single" w:color="auto" w:sz="6" w:space="0"/>
              <w:right w:val="single" w:color="auto" w:sz="6" w:space="0"/>
            </w:tcBorders>
            <w:noWrap w:val="0"/>
            <w:vAlign w:val="center"/>
          </w:tcPr>
          <w:p w14:paraId="2E9F5C92">
            <w:pPr>
              <w:spacing w:line="360" w:lineRule="auto"/>
              <w:jc w:val="center"/>
              <w:rPr>
                <w:rFonts w:ascii="宋体" w:hAnsi="宋体"/>
                <w:color w:val="000000"/>
                <w:szCs w:val="21"/>
                <w:highlight w:val="none"/>
              </w:rPr>
            </w:pPr>
          </w:p>
        </w:tc>
      </w:tr>
      <w:tr w14:paraId="2D201815">
        <w:tblPrEx>
          <w:tblCellMar>
            <w:top w:w="0" w:type="dxa"/>
            <w:left w:w="108" w:type="dxa"/>
            <w:bottom w:w="0" w:type="dxa"/>
            <w:right w:w="108" w:type="dxa"/>
          </w:tblCellMar>
        </w:tblPrEx>
        <w:trPr>
          <w:trHeight w:val="578" w:hRule="atLeast"/>
          <w:jc w:val="center"/>
        </w:trPr>
        <w:tc>
          <w:tcPr>
            <w:tcW w:w="839" w:type="dxa"/>
            <w:vMerge w:val="restart"/>
            <w:tcBorders>
              <w:top w:val="single" w:color="auto" w:sz="4" w:space="0"/>
              <w:left w:val="single" w:color="auto" w:sz="4" w:space="0"/>
              <w:bottom w:val="nil"/>
              <w:right w:val="nil"/>
            </w:tcBorders>
            <w:noWrap w:val="0"/>
            <w:vAlign w:val="center"/>
          </w:tcPr>
          <w:p w14:paraId="78A40DC9">
            <w:pPr>
              <w:jc w:val="center"/>
              <w:rPr>
                <w:color w:val="000000"/>
                <w:highlight w:val="none"/>
              </w:rPr>
            </w:pPr>
          </w:p>
          <w:p w14:paraId="39AECF6B">
            <w:pPr>
              <w:jc w:val="center"/>
              <w:rPr>
                <w:color w:val="000000"/>
                <w:highlight w:val="none"/>
              </w:rPr>
            </w:pPr>
            <w:r>
              <w:rPr>
                <w:color w:val="000000"/>
                <w:highlight w:val="none"/>
              </w:rPr>
              <w:t>1</w:t>
            </w:r>
          </w:p>
        </w:tc>
        <w:tc>
          <w:tcPr>
            <w:tcW w:w="3534" w:type="dxa"/>
            <w:gridSpan w:val="3"/>
            <w:tcBorders>
              <w:top w:val="single" w:color="auto" w:sz="6" w:space="0"/>
              <w:left w:val="single" w:color="auto" w:sz="6" w:space="0"/>
              <w:bottom w:val="single" w:color="auto" w:sz="4" w:space="0"/>
              <w:right w:val="single" w:color="auto" w:sz="6" w:space="0"/>
            </w:tcBorders>
            <w:noWrap w:val="0"/>
            <w:vAlign w:val="center"/>
          </w:tcPr>
          <w:p w14:paraId="540656D1">
            <w:pPr>
              <w:rPr>
                <w:color w:val="000000"/>
                <w:highlight w:val="none"/>
              </w:rPr>
            </w:pPr>
            <w:r>
              <w:rPr>
                <w:rFonts w:hint="eastAsia"/>
                <w:color w:val="000000"/>
                <w:highlight w:val="none"/>
              </w:rPr>
              <w:t>投标报价</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261BC8F2">
            <w:pPr>
              <w:spacing w:line="360" w:lineRule="auto"/>
              <w:ind w:firstLine="1155" w:firstLineChars="550"/>
              <w:rPr>
                <w:rFonts w:ascii="宋体" w:hAnsi="宋体"/>
                <w:color w:val="000000"/>
                <w:szCs w:val="21"/>
                <w:highlight w:val="none"/>
              </w:rPr>
            </w:pPr>
            <w:r>
              <w:rPr>
                <w:rFonts w:hint="eastAsia" w:ascii="宋体" w:hAnsi="宋体"/>
                <w:color w:val="000000"/>
                <w:szCs w:val="21"/>
                <w:highlight w:val="none"/>
                <w:u w:val="single"/>
              </w:rPr>
              <w:t xml:space="preserve">（大写）      </w:t>
            </w:r>
          </w:p>
          <w:p w14:paraId="3E363B79">
            <w:pPr>
              <w:spacing w:line="360" w:lineRule="auto"/>
              <w:ind w:firstLine="1155" w:firstLineChars="550"/>
              <w:rPr>
                <w:rFonts w:ascii="宋体" w:hAnsi="宋体"/>
                <w:color w:val="000000"/>
                <w:szCs w:val="21"/>
                <w:highlight w:val="none"/>
              </w:rPr>
            </w:pPr>
            <w:r>
              <w:rPr>
                <w:rFonts w:hint="eastAsia" w:ascii="宋体" w:hAnsi="宋体"/>
                <w:color w:val="000000"/>
                <w:szCs w:val="21"/>
                <w:highlight w:val="none"/>
                <w:u w:val="single"/>
              </w:rPr>
              <w:t xml:space="preserve">（小写）     </w:t>
            </w:r>
            <w:r>
              <w:rPr>
                <w:rFonts w:hint="eastAsia" w:ascii="宋体" w:hAnsi="宋体"/>
                <w:color w:val="000000"/>
                <w:szCs w:val="21"/>
                <w:highlight w:val="none"/>
              </w:rPr>
              <w:t>元</w:t>
            </w:r>
          </w:p>
        </w:tc>
      </w:tr>
      <w:tr w14:paraId="79E3BB9D">
        <w:tblPrEx>
          <w:tblCellMar>
            <w:top w:w="0" w:type="dxa"/>
            <w:left w:w="108" w:type="dxa"/>
            <w:bottom w:w="0" w:type="dxa"/>
            <w:right w:w="108" w:type="dxa"/>
          </w:tblCellMar>
        </w:tblPrEx>
        <w:trPr>
          <w:trHeight w:val="579" w:hRule="atLeast"/>
          <w:jc w:val="center"/>
        </w:trPr>
        <w:tc>
          <w:tcPr>
            <w:tcW w:w="839" w:type="dxa"/>
            <w:vMerge w:val="continue"/>
            <w:tcBorders>
              <w:top w:val="single" w:color="auto" w:sz="4" w:space="0"/>
              <w:left w:val="single" w:color="auto" w:sz="4" w:space="0"/>
              <w:bottom w:val="nil"/>
              <w:right w:val="nil"/>
            </w:tcBorders>
            <w:noWrap w:val="0"/>
            <w:vAlign w:val="center"/>
          </w:tcPr>
          <w:p w14:paraId="6D380E3D">
            <w:pPr>
              <w:widowControl/>
              <w:jc w:val="center"/>
              <w:rPr>
                <w:color w:val="000000"/>
                <w:highlight w:val="none"/>
              </w:rPr>
            </w:pPr>
          </w:p>
        </w:tc>
        <w:tc>
          <w:tcPr>
            <w:tcW w:w="772" w:type="dxa"/>
            <w:vMerge w:val="restart"/>
            <w:tcBorders>
              <w:top w:val="single" w:color="auto" w:sz="4" w:space="0"/>
              <w:left w:val="single" w:color="auto" w:sz="6" w:space="0"/>
              <w:bottom w:val="nil"/>
              <w:right w:val="single" w:color="auto" w:sz="6" w:space="0"/>
            </w:tcBorders>
            <w:noWrap w:val="0"/>
            <w:vAlign w:val="center"/>
          </w:tcPr>
          <w:p w14:paraId="212036D4">
            <w:pPr>
              <w:rPr>
                <w:color w:val="000000"/>
                <w:highlight w:val="none"/>
              </w:rPr>
            </w:pPr>
          </w:p>
          <w:p w14:paraId="1C94A55C">
            <w:pPr>
              <w:rPr>
                <w:color w:val="000000"/>
                <w:highlight w:val="none"/>
              </w:rPr>
            </w:pPr>
            <w:r>
              <w:rPr>
                <w:rFonts w:hint="eastAsia"/>
                <w:color w:val="000000"/>
                <w:highlight w:val="none"/>
              </w:rPr>
              <w:t>其中</w:t>
            </w:r>
          </w:p>
        </w:tc>
        <w:tc>
          <w:tcPr>
            <w:tcW w:w="2762" w:type="dxa"/>
            <w:gridSpan w:val="2"/>
            <w:tcBorders>
              <w:top w:val="single" w:color="auto" w:sz="4" w:space="0"/>
              <w:left w:val="single" w:color="auto" w:sz="6" w:space="0"/>
              <w:bottom w:val="single" w:color="auto" w:sz="4" w:space="0"/>
              <w:right w:val="single" w:color="auto" w:sz="6" w:space="0"/>
            </w:tcBorders>
            <w:noWrap w:val="0"/>
            <w:vAlign w:val="center"/>
          </w:tcPr>
          <w:p w14:paraId="65B30762">
            <w:pPr>
              <w:rPr>
                <w:color w:val="000000"/>
                <w:highlight w:val="none"/>
              </w:rPr>
            </w:pPr>
            <w:r>
              <w:rPr>
                <w:rFonts w:hint="eastAsia"/>
                <w:color w:val="000000"/>
                <w:highlight w:val="none"/>
              </w:rPr>
              <w:t>安全文明施工费</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186CA1D3">
            <w:pPr>
              <w:spacing w:line="360" w:lineRule="auto"/>
              <w:ind w:left="-90"/>
              <w:jc w:val="center"/>
              <w:rPr>
                <w:rFonts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3479E51E">
        <w:tblPrEx>
          <w:tblCellMar>
            <w:top w:w="0" w:type="dxa"/>
            <w:left w:w="108" w:type="dxa"/>
            <w:bottom w:w="0" w:type="dxa"/>
            <w:right w:w="108" w:type="dxa"/>
          </w:tblCellMar>
        </w:tblPrEx>
        <w:trPr>
          <w:trHeight w:val="521" w:hRule="atLeast"/>
          <w:jc w:val="center"/>
        </w:trPr>
        <w:tc>
          <w:tcPr>
            <w:tcW w:w="839" w:type="dxa"/>
            <w:vMerge w:val="continue"/>
            <w:tcBorders>
              <w:top w:val="single" w:color="auto" w:sz="4" w:space="0"/>
              <w:left w:val="single" w:color="auto" w:sz="4" w:space="0"/>
              <w:bottom w:val="nil"/>
              <w:right w:val="nil"/>
            </w:tcBorders>
            <w:noWrap w:val="0"/>
            <w:vAlign w:val="center"/>
          </w:tcPr>
          <w:p w14:paraId="7FB03C89">
            <w:pPr>
              <w:widowControl/>
              <w:jc w:val="center"/>
              <w:rPr>
                <w:color w:val="000000"/>
                <w:highlight w:val="none"/>
              </w:rPr>
            </w:pPr>
          </w:p>
        </w:tc>
        <w:tc>
          <w:tcPr>
            <w:tcW w:w="3534" w:type="dxa"/>
            <w:vMerge w:val="continue"/>
            <w:tcBorders>
              <w:top w:val="single" w:color="auto" w:sz="4" w:space="0"/>
              <w:left w:val="single" w:color="auto" w:sz="6" w:space="0"/>
              <w:bottom w:val="nil"/>
              <w:right w:val="single" w:color="auto" w:sz="6" w:space="0"/>
            </w:tcBorders>
            <w:noWrap w:val="0"/>
            <w:vAlign w:val="center"/>
          </w:tcPr>
          <w:p w14:paraId="07277DC8">
            <w:pPr>
              <w:widowControl/>
              <w:jc w:val="left"/>
              <w:rPr>
                <w:color w:val="000000"/>
                <w:highlight w:val="none"/>
              </w:rPr>
            </w:pPr>
          </w:p>
        </w:tc>
        <w:tc>
          <w:tcPr>
            <w:tcW w:w="2762" w:type="dxa"/>
            <w:gridSpan w:val="2"/>
            <w:tcBorders>
              <w:top w:val="single" w:color="auto" w:sz="4" w:space="0"/>
              <w:left w:val="single" w:color="auto" w:sz="6" w:space="0"/>
              <w:bottom w:val="single" w:color="auto" w:sz="4" w:space="0"/>
              <w:right w:val="single" w:color="auto" w:sz="6" w:space="0"/>
            </w:tcBorders>
            <w:noWrap w:val="0"/>
            <w:vAlign w:val="center"/>
          </w:tcPr>
          <w:p w14:paraId="16A39200">
            <w:pPr>
              <w:rPr>
                <w:color w:val="000000"/>
                <w:highlight w:val="none"/>
              </w:rPr>
            </w:pPr>
            <w:r>
              <w:rPr>
                <w:rFonts w:hint="eastAsia"/>
                <w:color w:val="000000"/>
                <w:highlight w:val="none"/>
              </w:rPr>
              <w:t>规费</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2D4317A5">
            <w:pPr>
              <w:spacing w:line="360" w:lineRule="auto"/>
              <w:ind w:left="-90"/>
              <w:jc w:val="center"/>
              <w:rPr>
                <w:rFonts w:ascii="宋体" w:hAnsi="宋体"/>
                <w:color w:val="000000"/>
                <w:szCs w:val="21"/>
                <w:highlight w:val="none"/>
                <w:u w:val="singl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7C45390B">
        <w:tblPrEx>
          <w:tblCellMar>
            <w:top w:w="0" w:type="dxa"/>
            <w:left w:w="108" w:type="dxa"/>
            <w:bottom w:w="0" w:type="dxa"/>
            <w:right w:w="108" w:type="dxa"/>
          </w:tblCellMar>
        </w:tblPrEx>
        <w:trPr>
          <w:trHeight w:val="659" w:hRule="atLeast"/>
          <w:jc w:val="center"/>
        </w:trPr>
        <w:tc>
          <w:tcPr>
            <w:tcW w:w="839" w:type="dxa"/>
            <w:vMerge w:val="continue"/>
            <w:tcBorders>
              <w:top w:val="single" w:color="auto" w:sz="4" w:space="0"/>
              <w:left w:val="single" w:color="auto" w:sz="4" w:space="0"/>
              <w:bottom w:val="nil"/>
              <w:right w:val="nil"/>
            </w:tcBorders>
            <w:noWrap w:val="0"/>
            <w:vAlign w:val="center"/>
          </w:tcPr>
          <w:p w14:paraId="4F90B1BF">
            <w:pPr>
              <w:widowControl/>
              <w:jc w:val="center"/>
              <w:rPr>
                <w:color w:val="000000"/>
                <w:highlight w:val="none"/>
              </w:rPr>
            </w:pPr>
          </w:p>
        </w:tc>
        <w:tc>
          <w:tcPr>
            <w:tcW w:w="3534" w:type="dxa"/>
            <w:vMerge w:val="continue"/>
            <w:tcBorders>
              <w:top w:val="single" w:color="auto" w:sz="4" w:space="0"/>
              <w:left w:val="single" w:color="auto" w:sz="6" w:space="0"/>
              <w:bottom w:val="nil"/>
              <w:right w:val="single" w:color="auto" w:sz="6" w:space="0"/>
            </w:tcBorders>
            <w:noWrap w:val="0"/>
            <w:vAlign w:val="center"/>
          </w:tcPr>
          <w:p w14:paraId="38F1CC7F">
            <w:pPr>
              <w:widowControl/>
              <w:jc w:val="left"/>
              <w:rPr>
                <w:color w:val="000000"/>
                <w:highlight w:val="none"/>
              </w:rPr>
            </w:pPr>
          </w:p>
        </w:tc>
        <w:tc>
          <w:tcPr>
            <w:tcW w:w="2762" w:type="dxa"/>
            <w:gridSpan w:val="2"/>
            <w:tcBorders>
              <w:top w:val="single" w:color="auto" w:sz="4" w:space="0"/>
              <w:left w:val="single" w:color="auto" w:sz="6" w:space="0"/>
              <w:bottom w:val="single" w:color="auto" w:sz="4" w:space="0"/>
              <w:right w:val="single" w:color="auto" w:sz="6" w:space="0"/>
            </w:tcBorders>
            <w:noWrap w:val="0"/>
            <w:vAlign w:val="center"/>
          </w:tcPr>
          <w:p w14:paraId="399476A3">
            <w:pPr>
              <w:rPr>
                <w:color w:val="000000"/>
                <w:highlight w:val="none"/>
              </w:rPr>
            </w:pPr>
            <w:r>
              <w:rPr>
                <w:rFonts w:hint="eastAsia"/>
                <w:color w:val="000000"/>
                <w:highlight w:val="none"/>
              </w:rPr>
              <w:t>增值税</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703CB50C">
            <w:pPr>
              <w:spacing w:line="360" w:lineRule="auto"/>
              <w:ind w:left="-90"/>
              <w:jc w:val="center"/>
              <w:rPr>
                <w:rFonts w:ascii="宋体" w:hAnsi="宋体"/>
                <w:color w:val="000000"/>
                <w:szCs w:val="21"/>
                <w:highlight w:val="none"/>
                <w:u w:val="singl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7710793C">
        <w:tblPrEx>
          <w:tblCellMar>
            <w:top w:w="0" w:type="dxa"/>
            <w:left w:w="108" w:type="dxa"/>
            <w:bottom w:w="0" w:type="dxa"/>
            <w:right w:w="108" w:type="dxa"/>
          </w:tblCellMar>
        </w:tblPrEx>
        <w:trPr>
          <w:trHeight w:val="521" w:hRule="atLeast"/>
          <w:jc w:val="center"/>
        </w:trPr>
        <w:tc>
          <w:tcPr>
            <w:tcW w:w="839" w:type="dxa"/>
            <w:vMerge w:val="continue"/>
            <w:tcBorders>
              <w:top w:val="single" w:color="auto" w:sz="4" w:space="0"/>
              <w:left w:val="single" w:color="auto" w:sz="4" w:space="0"/>
              <w:bottom w:val="nil"/>
              <w:right w:val="nil"/>
            </w:tcBorders>
            <w:noWrap w:val="0"/>
            <w:vAlign w:val="center"/>
          </w:tcPr>
          <w:p w14:paraId="5C66DB75">
            <w:pPr>
              <w:widowControl/>
              <w:jc w:val="center"/>
              <w:rPr>
                <w:color w:val="000000"/>
                <w:highlight w:val="none"/>
              </w:rPr>
            </w:pPr>
          </w:p>
        </w:tc>
        <w:tc>
          <w:tcPr>
            <w:tcW w:w="3534" w:type="dxa"/>
            <w:vMerge w:val="continue"/>
            <w:tcBorders>
              <w:top w:val="single" w:color="auto" w:sz="4" w:space="0"/>
              <w:left w:val="single" w:color="auto" w:sz="6" w:space="0"/>
              <w:bottom w:val="nil"/>
              <w:right w:val="single" w:color="auto" w:sz="6" w:space="0"/>
            </w:tcBorders>
            <w:noWrap w:val="0"/>
            <w:vAlign w:val="center"/>
          </w:tcPr>
          <w:p w14:paraId="0AAA4A1C">
            <w:pPr>
              <w:widowControl/>
              <w:jc w:val="left"/>
              <w:rPr>
                <w:color w:val="000000"/>
                <w:highlight w:val="none"/>
              </w:rPr>
            </w:pPr>
          </w:p>
        </w:tc>
        <w:tc>
          <w:tcPr>
            <w:tcW w:w="2762" w:type="dxa"/>
            <w:gridSpan w:val="2"/>
            <w:tcBorders>
              <w:top w:val="single" w:color="auto" w:sz="4" w:space="0"/>
              <w:left w:val="single" w:color="auto" w:sz="6" w:space="0"/>
              <w:bottom w:val="single" w:color="auto" w:sz="4" w:space="0"/>
              <w:right w:val="single" w:color="auto" w:sz="6" w:space="0"/>
            </w:tcBorders>
            <w:noWrap w:val="0"/>
            <w:vAlign w:val="center"/>
          </w:tcPr>
          <w:p w14:paraId="67D3418C">
            <w:pPr>
              <w:rPr>
                <w:color w:val="000000"/>
                <w:highlight w:val="none"/>
              </w:rPr>
            </w:pPr>
            <w:r>
              <w:rPr>
                <w:rFonts w:hint="eastAsia"/>
                <w:color w:val="000000"/>
                <w:highlight w:val="none"/>
              </w:rPr>
              <w:t>暂列金额</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028AD5D0">
            <w:pPr>
              <w:spacing w:line="360" w:lineRule="auto"/>
              <w:ind w:left="-90"/>
              <w:jc w:val="center"/>
              <w:rPr>
                <w:rFonts w:ascii="宋体" w:hAnsi="宋体"/>
                <w:color w:val="000000"/>
                <w:szCs w:val="21"/>
                <w:highlight w:val="none"/>
                <w:u w:val="singl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0BDB335A">
        <w:tblPrEx>
          <w:tblCellMar>
            <w:top w:w="0" w:type="dxa"/>
            <w:left w:w="108" w:type="dxa"/>
            <w:bottom w:w="0" w:type="dxa"/>
            <w:right w:w="108" w:type="dxa"/>
          </w:tblCellMar>
        </w:tblPrEx>
        <w:trPr>
          <w:trHeight w:val="521" w:hRule="atLeast"/>
          <w:jc w:val="center"/>
        </w:trPr>
        <w:tc>
          <w:tcPr>
            <w:tcW w:w="839" w:type="dxa"/>
            <w:tcBorders>
              <w:top w:val="nil"/>
              <w:left w:val="single" w:color="auto" w:sz="4" w:space="0"/>
              <w:bottom w:val="nil"/>
              <w:right w:val="nil"/>
            </w:tcBorders>
            <w:noWrap w:val="0"/>
            <w:vAlign w:val="center"/>
          </w:tcPr>
          <w:p w14:paraId="4D7F4BD2">
            <w:pPr>
              <w:jc w:val="center"/>
              <w:rPr>
                <w:color w:val="000000"/>
                <w:highlight w:val="none"/>
              </w:rPr>
            </w:pPr>
          </w:p>
        </w:tc>
        <w:tc>
          <w:tcPr>
            <w:tcW w:w="772" w:type="dxa"/>
            <w:tcBorders>
              <w:top w:val="nil"/>
              <w:left w:val="single" w:color="auto" w:sz="6" w:space="0"/>
              <w:bottom w:val="nil"/>
              <w:right w:val="single" w:color="auto" w:sz="6" w:space="0"/>
            </w:tcBorders>
            <w:noWrap w:val="0"/>
            <w:vAlign w:val="center"/>
          </w:tcPr>
          <w:p w14:paraId="3CAF34F3">
            <w:pPr>
              <w:rPr>
                <w:color w:val="000000"/>
                <w:highlight w:val="none"/>
              </w:rPr>
            </w:pPr>
          </w:p>
        </w:tc>
        <w:tc>
          <w:tcPr>
            <w:tcW w:w="2762" w:type="dxa"/>
            <w:gridSpan w:val="2"/>
            <w:tcBorders>
              <w:top w:val="single" w:color="auto" w:sz="4" w:space="0"/>
              <w:left w:val="single" w:color="auto" w:sz="6" w:space="0"/>
              <w:bottom w:val="single" w:color="auto" w:sz="4" w:space="0"/>
              <w:right w:val="single" w:color="auto" w:sz="6" w:space="0"/>
            </w:tcBorders>
            <w:noWrap w:val="0"/>
            <w:vAlign w:val="center"/>
          </w:tcPr>
          <w:p w14:paraId="0E856CA5">
            <w:pPr>
              <w:rPr>
                <w:color w:val="000000"/>
                <w:highlight w:val="none"/>
              </w:rPr>
            </w:pPr>
            <w:r>
              <w:rPr>
                <w:rFonts w:hint="eastAsia" w:ascii="宋体" w:hAnsi="宋体"/>
                <w:color w:val="000000"/>
                <w:szCs w:val="21"/>
                <w:highlight w:val="none"/>
              </w:rPr>
              <w:t>专业工程暂估价</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295A0648">
            <w:pPr>
              <w:spacing w:line="360" w:lineRule="auto"/>
              <w:ind w:left="-90"/>
              <w:jc w:val="center"/>
              <w:rPr>
                <w:rFonts w:ascii="宋体" w:hAnsi="宋体"/>
                <w:color w:val="000000"/>
                <w:szCs w:val="21"/>
                <w:highlight w:val="none"/>
                <w:u w:val="singl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335430BE">
        <w:tblPrEx>
          <w:tblCellMar>
            <w:top w:w="0" w:type="dxa"/>
            <w:left w:w="108" w:type="dxa"/>
            <w:bottom w:w="0" w:type="dxa"/>
            <w:right w:w="108" w:type="dxa"/>
          </w:tblCellMar>
        </w:tblPrEx>
        <w:trPr>
          <w:trHeight w:val="1069" w:hRule="atLeast"/>
          <w:jc w:val="center"/>
        </w:trPr>
        <w:tc>
          <w:tcPr>
            <w:tcW w:w="839" w:type="dxa"/>
            <w:tcBorders>
              <w:top w:val="single" w:color="auto" w:sz="4" w:space="0"/>
              <w:left w:val="single" w:color="auto" w:sz="4" w:space="0"/>
              <w:bottom w:val="single" w:color="auto" w:sz="4" w:space="0"/>
              <w:right w:val="nil"/>
            </w:tcBorders>
            <w:noWrap w:val="0"/>
            <w:vAlign w:val="center"/>
          </w:tcPr>
          <w:p w14:paraId="10E49E6A">
            <w:pPr>
              <w:jc w:val="center"/>
              <w:rPr>
                <w:color w:val="000000"/>
                <w:highlight w:val="none"/>
              </w:rPr>
            </w:pPr>
            <w:r>
              <w:rPr>
                <w:color w:val="000000"/>
                <w:highlight w:val="none"/>
              </w:rPr>
              <w:t>2</w:t>
            </w:r>
          </w:p>
        </w:tc>
        <w:tc>
          <w:tcPr>
            <w:tcW w:w="3534" w:type="dxa"/>
            <w:gridSpan w:val="3"/>
            <w:tcBorders>
              <w:top w:val="single" w:color="auto" w:sz="4" w:space="0"/>
              <w:left w:val="single" w:color="auto" w:sz="6" w:space="0"/>
              <w:bottom w:val="single" w:color="auto" w:sz="4" w:space="0"/>
              <w:right w:val="single" w:color="auto" w:sz="6" w:space="0"/>
            </w:tcBorders>
            <w:noWrap w:val="0"/>
            <w:vAlign w:val="center"/>
          </w:tcPr>
          <w:p w14:paraId="17F5E2F1">
            <w:pPr>
              <w:jc w:val="center"/>
              <w:rPr>
                <w:color w:val="000000"/>
                <w:highlight w:val="none"/>
              </w:rPr>
            </w:pPr>
            <w:r>
              <w:rPr>
                <w:rFonts w:hint="eastAsia"/>
                <w:color w:val="000000"/>
                <w:highlight w:val="none"/>
              </w:rPr>
              <w:t>评标报价</w:t>
            </w:r>
          </w:p>
          <w:p w14:paraId="33E1FFC6">
            <w:pPr>
              <w:jc w:val="center"/>
              <w:rPr>
                <w:color w:val="000000"/>
                <w:highlight w:val="none"/>
              </w:rPr>
            </w:pPr>
            <w:r>
              <w:rPr>
                <w:rFonts w:hint="eastAsia"/>
                <w:color w:val="000000"/>
                <w:highlight w:val="none"/>
              </w:rPr>
              <w:t>（不含安全文明施工费、规费、增值税、暂列金额、</w:t>
            </w:r>
            <w:r>
              <w:rPr>
                <w:rFonts w:hint="eastAsia" w:ascii="宋体" w:hAnsi="宋体"/>
                <w:color w:val="000000"/>
                <w:szCs w:val="21"/>
                <w:highlight w:val="none"/>
              </w:rPr>
              <w:t>专业工程暂估价</w:t>
            </w:r>
            <w:r>
              <w:rPr>
                <w:rFonts w:hint="eastAsia"/>
                <w:color w:val="000000"/>
                <w:highlight w:val="none"/>
              </w:rPr>
              <w:t>）</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437BB3AC">
            <w:pPr>
              <w:spacing w:line="360" w:lineRule="auto"/>
              <w:jc w:val="center"/>
              <w:rPr>
                <w:rFonts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2C26417C">
        <w:tblPrEx>
          <w:tblCellMar>
            <w:top w:w="0" w:type="dxa"/>
            <w:left w:w="108" w:type="dxa"/>
            <w:bottom w:w="0" w:type="dxa"/>
            <w:right w:w="108" w:type="dxa"/>
          </w:tblCellMar>
        </w:tblPrEx>
        <w:trPr>
          <w:trHeight w:val="494" w:hRule="atLeast"/>
          <w:jc w:val="center"/>
        </w:trPr>
        <w:tc>
          <w:tcPr>
            <w:tcW w:w="839" w:type="dxa"/>
            <w:tcBorders>
              <w:top w:val="single" w:color="auto" w:sz="4" w:space="0"/>
              <w:left w:val="single" w:color="auto" w:sz="4" w:space="0"/>
              <w:bottom w:val="single" w:color="auto" w:sz="4" w:space="0"/>
              <w:right w:val="nil"/>
            </w:tcBorders>
            <w:noWrap w:val="0"/>
            <w:vAlign w:val="center"/>
          </w:tcPr>
          <w:p w14:paraId="78487252">
            <w:pPr>
              <w:jc w:val="center"/>
              <w:rPr>
                <w:color w:val="000000"/>
                <w:highlight w:val="none"/>
              </w:rPr>
            </w:pPr>
            <w:r>
              <w:rPr>
                <w:color w:val="000000"/>
                <w:highlight w:val="none"/>
              </w:rPr>
              <w:t>3</w:t>
            </w:r>
          </w:p>
        </w:tc>
        <w:tc>
          <w:tcPr>
            <w:tcW w:w="3534" w:type="dxa"/>
            <w:gridSpan w:val="3"/>
            <w:tcBorders>
              <w:top w:val="single" w:color="auto" w:sz="4" w:space="0"/>
              <w:left w:val="single" w:color="auto" w:sz="6" w:space="0"/>
              <w:bottom w:val="single" w:color="auto" w:sz="4" w:space="0"/>
              <w:right w:val="single" w:color="auto" w:sz="6" w:space="0"/>
            </w:tcBorders>
            <w:noWrap w:val="0"/>
            <w:vAlign w:val="center"/>
          </w:tcPr>
          <w:p w14:paraId="673AD49E">
            <w:pPr>
              <w:rPr>
                <w:color w:val="000000"/>
                <w:highlight w:val="none"/>
              </w:rPr>
            </w:pPr>
            <w:r>
              <w:rPr>
                <w:rFonts w:hint="eastAsia"/>
                <w:color w:val="000000"/>
                <w:highlight w:val="none"/>
              </w:rPr>
              <w:t>措施费（不含安全文明施工费）</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2DAA3C9A">
            <w:pPr>
              <w:spacing w:line="360" w:lineRule="auto"/>
              <w:jc w:val="center"/>
              <w:rPr>
                <w:rFonts w:ascii="宋体" w:hAnsi="宋体"/>
                <w:color w:val="000000"/>
                <w:szCs w:val="21"/>
                <w:highlight w:val="none"/>
                <w:u w:val="singl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3A4FD29D">
        <w:tblPrEx>
          <w:tblCellMar>
            <w:top w:w="0" w:type="dxa"/>
            <w:left w:w="108" w:type="dxa"/>
            <w:bottom w:w="0" w:type="dxa"/>
            <w:right w:w="108" w:type="dxa"/>
          </w:tblCellMar>
        </w:tblPrEx>
        <w:trPr>
          <w:trHeight w:val="494" w:hRule="atLeast"/>
          <w:jc w:val="center"/>
        </w:trPr>
        <w:tc>
          <w:tcPr>
            <w:tcW w:w="839" w:type="dxa"/>
            <w:tcBorders>
              <w:top w:val="single" w:color="auto" w:sz="4" w:space="0"/>
              <w:left w:val="single" w:color="auto" w:sz="4" w:space="0"/>
              <w:bottom w:val="single" w:color="auto" w:sz="4" w:space="0"/>
              <w:right w:val="nil"/>
            </w:tcBorders>
            <w:noWrap w:val="0"/>
            <w:vAlign w:val="center"/>
          </w:tcPr>
          <w:p w14:paraId="68D8C778">
            <w:pPr>
              <w:jc w:val="center"/>
              <w:rPr>
                <w:color w:val="000000"/>
                <w:highlight w:val="none"/>
              </w:rPr>
            </w:pPr>
            <w:r>
              <w:rPr>
                <w:color w:val="000000"/>
                <w:highlight w:val="none"/>
              </w:rPr>
              <w:t>4</w:t>
            </w:r>
          </w:p>
        </w:tc>
        <w:tc>
          <w:tcPr>
            <w:tcW w:w="3534" w:type="dxa"/>
            <w:gridSpan w:val="3"/>
            <w:tcBorders>
              <w:top w:val="single" w:color="auto" w:sz="4" w:space="0"/>
              <w:left w:val="single" w:color="auto" w:sz="6" w:space="0"/>
              <w:bottom w:val="single" w:color="auto" w:sz="4" w:space="0"/>
              <w:right w:val="single" w:color="auto" w:sz="6" w:space="0"/>
            </w:tcBorders>
            <w:noWrap w:val="0"/>
            <w:vAlign w:val="center"/>
          </w:tcPr>
          <w:p w14:paraId="4C61BF72">
            <w:pPr>
              <w:rPr>
                <w:color w:val="000000"/>
                <w:highlight w:val="none"/>
              </w:rPr>
            </w:pPr>
            <w:r>
              <w:rPr>
                <w:rFonts w:hint="eastAsia"/>
                <w:color w:val="000000"/>
                <w:highlight w:val="none"/>
              </w:rPr>
              <w:t>人工费</w:t>
            </w:r>
          </w:p>
        </w:tc>
        <w:tc>
          <w:tcPr>
            <w:tcW w:w="4272" w:type="dxa"/>
            <w:tcBorders>
              <w:top w:val="single" w:color="auto" w:sz="6" w:space="0"/>
              <w:left w:val="single" w:color="auto" w:sz="6" w:space="0"/>
              <w:bottom w:val="single" w:color="auto" w:sz="4" w:space="0"/>
              <w:right w:val="single" w:color="auto" w:sz="6" w:space="0"/>
            </w:tcBorders>
            <w:noWrap w:val="0"/>
            <w:vAlign w:val="center"/>
          </w:tcPr>
          <w:p w14:paraId="2DA96362">
            <w:pPr>
              <w:spacing w:line="360" w:lineRule="auto"/>
              <w:jc w:val="center"/>
              <w:rPr>
                <w:rFonts w:ascii="宋体" w:hAnsi="宋体"/>
                <w:color w:val="000000"/>
                <w:szCs w:val="21"/>
                <w:highlight w:val="none"/>
                <w:u w:val="single"/>
              </w:rPr>
            </w:pPr>
            <w:r>
              <w:rPr>
                <w:rFonts w:hint="eastAsia" w:ascii="宋体" w:hAnsi="宋体"/>
                <w:color w:val="000000"/>
                <w:szCs w:val="21"/>
                <w:highlight w:val="none"/>
                <w:u w:val="single"/>
              </w:rPr>
              <w:t xml:space="preserve">          </w:t>
            </w:r>
            <w:r>
              <w:rPr>
                <w:rFonts w:hint="eastAsia" w:ascii="宋体" w:hAnsi="宋体"/>
                <w:color w:val="000000"/>
                <w:szCs w:val="21"/>
                <w:highlight w:val="none"/>
              </w:rPr>
              <w:t>元</w:t>
            </w:r>
          </w:p>
        </w:tc>
      </w:tr>
      <w:tr w14:paraId="594EB5AB">
        <w:tblPrEx>
          <w:tblCellMar>
            <w:top w:w="0" w:type="dxa"/>
            <w:left w:w="108" w:type="dxa"/>
            <w:bottom w:w="0" w:type="dxa"/>
            <w:right w:w="108" w:type="dxa"/>
          </w:tblCellMar>
        </w:tblPrEx>
        <w:trPr>
          <w:trHeight w:val="717" w:hRule="atLeast"/>
          <w:jc w:val="center"/>
        </w:trPr>
        <w:tc>
          <w:tcPr>
            <w:tcW w:w="839" w:type="dxa"/>
            <w:tcBorders>
              <w:top w:val="single" w:color="auto" w:sz="4" w:space="0"/>
              <w:left w:val="single" w:color="auto" w:sz="4" w:space="0"/>
              <w:bottom w:val="single" w:color="auto" w:sz="4" w:space="0"/>
              <w:right w:val="nil"/>
            </w:tcBorders>
            <w:noWrap w:val="0"/>
            <w:vAlign w:val="center"/>
          </w:tcPr>
          <w:p w14:paraId="3B050F15">
            <w:pPr>
              <w:jc w:val="center"/>
              <w:rPr>
                <w:color w:val="000000"/>
                <w:highlight w:val="none"/>
              </w:rPr>
            </w:pPr>
            <w:r>
              <w:rPr>
                <w:color w:val="000000"/>
                <w:highlight w:val="none"/>
              </w:rPr>
              <w:t>5</w:t>
            </w:r>
          </w:p>
        </w:tc>
        <w:tc>
          <w:tcPr>
            <w:tcW w:w="3534" w:type="dxa"/>
            <w:gridSpan w:val="3"/>
            <w:tcBorders>
              <w:top w:val="single" w:color="auto" w:sz="4" w:space="0"/>
              <w:left w:val="single" w:color="auto" w:sz="6" w:space="0"/>
              <w:bottom w:val="single" w:color="auto" w:sz="4" w:space="0"/>
              <w:right w:val="single" w:color="auto" w:sz="6" w:space="0"/>
            </w:tcBorders>
            <w:noWrap w:val="0"/>
            <w:vAlign w:val="center"/>
          </w:tcPr>
          <w:p w14:paraId="586F23B5">
            <w:pPr>
              <w:rPr>
                <w:color w:val="000000"/>
                <w:highlight w:val="none"/>
              </w:rPr>
            </w:pPr>
            <w:r>
              <w:rPr>
                <w:rFonts w:hint="eastAsia"/>
                <w:color w:val="000000"/>
                <w:highlight w:val="none"/>
              </w:rPr>
              <w:t>投报工期</w:t>
            </w:r>
          </w:p>
        </w:tc>
        <w:tc>
          <w:tcPr>
            <w:tcW w:w="4272" w:type="dxa"/>
            <w:tcBorders>
              <w:top w:val="single" w:color="auto" w:sz="6" w:space="0"/>
              <w:left w:val="single" w:color="auto" w:sz="6" w:space="0"/>
              <w:bottom w:val="single" w:color="auto" w:sz="4" w:space="0"/>
              <w:right w:val="single" w:color="auto" w:sz="6" w:space="0"/>
            </w:tcBorders>
            <w:noWrap w:val="0"/>
            <w:vAlign w:val="bottom"/>
          </w:tcPr>
          <w:p w14:paraId="5634C83D">
            <w:pPr>
              <w:spacing w:line="360" w:lineRule="auto"/>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日历天</w:t>
            </w:r>
          </w:p>
        </w:tc>
      </w:tr>
      <w:tr w14:paraId="40D60260">
        <w:tblPrEx>
          <w:tblCellMar>
            <w:top w:w="0" w:type="dxa"/>
            <w:left w:w="108" w:type="dxa"/>
            <w:bottom w:w="0" w:type="dxa"/>
            <w:right w:w="108" w:type="dxa"/>
          </w:tblCellMar>
        </w:tblPrEx>
        <w:trPr>
          <w:trHeight w:val="558" w:hRule="atLeast"/>
          <w:jc w:val="center"/>
        </w:trPr>
        <w:tc>
          <w:tcPr>
            <w:tcW w:w="839" w:type="dxa"/>
            <w:tcBorders>
              <w:top w:val="single" w:color="auto" w:sz="4" w:space="0"/>
              <w:left w:val="single" w:color="auto" w:sz="4" w:space="0"/>
              <w:bottom w:val="single" w:color="auto" w:sz="4" w:space="0"/>
              <w:right w:val="nil"/>
            </w:tcBorders>
            <w:noWrap w:val="0"/>
            <w:vAlign w:val="center"/>
          </w:tcPr>
          <w:p w14:paraId="383C1A16">
            <w:pPr>
              <w:jc w:val="center"/>
              <w:rPr>
                <w:color w:val="000000"/>
                <w:highlight w:val="none"/>
              </w:rPr>
            </w:pPr>
            <w:r>
              <w:rPr>
                <w:color w:val="000000"/>
                <w:highlight w:val="none"/>
              </w:rPr>
              <w:t>6</w:t>
            </w:r>
          </w:p>
        </w:tc>
        <w:tc>
          <w:tcPr>
            <w:tcW w:w="3534" w:type="dxa"/>
            <w:gridSpan w:val="3"/>
            <w:tcBorders>
              <w:top w:val="single" w:color="auto" w:sz="4" w:space="0"/>
              <w:left w:val="single" w:color="auto" w:sz="6" w:space="0"/>
              <w:bottom w:val="single" w:color="auto" w:sz="4" w:space="0"/>
              <w:right w:val="single" w:color="auto" w:sz="6" w:space="0"/>
            </w:tcBorders>
            <w:noWrap w:val="0"/>
            <w:vAlign w:val="center"/>
          </w:tcPr>
          <w:p w14:paraId="0109E1F0">
            <w:pPr>
              <w:rPr>
                <w:color w:val="000000"/>
                <w:highlight w:val="none"/>
              </w:rPr>
            </w:pPr>
            <w:r>
              <w:rPr>
                <w:rFonts w:hint="eastAsia"/>
                <w:color w:val="000000"/>
                <w:highlight w:val="none"/>
              </w:rPr>
              <w:t>投报质量标准</w:t>
            </w:r>
          </w:p>
        </w:tc>
        <w:tc>
          <w:tcPr>
            <w:tcW w:w="4272" w:type="dxa"/>
            <w:tcBorders>
              <w:top w:val="single" w:color="auto" w:sz="4" w:space="0"/>
              <w:left w:val="single" w:color="auto" w:sz="6" w:space="0"/>
              <w:bottom w:val="single" w:color="auto" w:sz="4" w:space="0"/>
              <w:right w:val="single" w:color="auto" w:sz="4" w:space="0"/>
            </w:tcBorders>
            <w:noWrap w:val="0"/>
            <w:vAlign w:val="center"/>
          </w:tcPr>
          <w:p w14:paraId="5F8A25F0">
            <w:pPr>
              <w:spacing w:line="360" w:lineRule="auto"/>
              <w:ind w:left="-90"/>
              <w:jc w:val="center"/>
              <w:rPr>
                <w:rFonts w:ascii="宋体" w:hAnsi="宋体"/>
                <w:color w:val="000000"/>
                <w:szCs w:val="21"/>
                <w:highlight w:val="none"/>
              </w:rPr>
            </w:pPr>
          </w:p>
        </w:tc>
      </w:tr>
      <w:tr w14:paraId="6DE31EC7">
        <w:tblPrEx>
          <w:tblCellMar>
            <w:top w:w="0" w:type="dxa"/>
            <w:left w:w="108" w:type="dxa"/>
            <w:bottom w:w="0" w:type="dxa"/>
            <w:right w:w="108" w:type="dxa"/>
          </w:tblCellMar>
        </w:tblPrEx>
        <w:trPr>
          <w:trHeight w:val="558" w:hRule="atLeast"/>
          <w:jc w:val="center"/>
        </w:trPr>
        <w:tc>
          <w:tcPr>
            <w:tcW w:w="839" w:type="dxa"/>
            <w:tcBorders>
              <w:top w:val="single" w:color="auto" w:sz="4" w:space="0"/>
              <w:left w:val="single" w:color="auto" w:sz="4" w:space="0"/>
              <w:bottom w:val="single" w:color="auto" w:sz="4" w:space="0"/>
              <w:right w:val="nil"/>
            </w:tcBorders>
            <w:noWrap w:val="0"/>
            <w:vAlign w:val="center"/>
          </w:tcPr>
          <w:p w14:paraId="458D8A68">
            <w:pPr>
              <w:jc w:val="center"/>
              <w:rPr>
                <w:color w:val="000000"/>
                <w:highlight w:val="none"/>
              </w:rPr>
            </w:pPr>
            <w:r>
              <w:rPr>
                <w:color w:val="000000"/>
                <w:highlight w:val="none"/>
              </w:rPr>
              <w:t>7</w:t>
            </w:r>
          </w:p>
        </w:tc>
        <w:tc>
          <w:tcPr>
            <w:tcW w:w="3534" w:type="dxa"/>
            <w:gridSpan w:val="3"/>
            <w:tcBorders>
              <w:top w:val="single" w:color="auto" w:sz="4" w:space="0"/>
              <w:left w:val="single" w:color="auto" w:sz="6" w:space="0"/>
              <w:bottom w:val="single" w:color="auto" w:sz="4" w:space="0"/>
              <w:right w:val="single" w:color="auto" w:sz="6" w:space="0"/>
            </w:tcBorders>
            <w:noWrap w:val="0"/>
            <w:vAlign w:val="center"/>
          </w:tcPr>
          <w:p w14:paraId="68D60FFC">
            <w:pPr>
              <w:rPr>
                <w:color w:val="000000"/>
                <w:highlight w:val="none"/>
              </w:rPr>
            </w:pPr>
            <w:r>
              <w:rPr>
                <w:rFonts w:hint="eastAsia"/>
                <w:color w:val="000000"/>
                <w:highlight w:val="none"/>
              </w:rPr>
              <w:t>投标有效期</w:t>
            </w:r>
          </w:p>
        </w:tc>
        <w:tc>
          <w:tcPr>
            <w:tcW w:w="4272" w:type="dxa"/>
            <w:tcBorders>
              <w:top w:val="single" w:color="auto" w:sz="4" w:space="0"/>
              <w:left w:val="single" w:color="auto" w:sz="6" w:space="0"/>
              <w:bottom w:val="single" w:color="auto" w:sz="4" w:space="0"/>
              <w:right w:val="single" w:color="auto" w:sz="4" w:space="0"/>
            </w:tcBorders>
            <w:noWrap w:val="0"/>
            <w:vAlign w:val="center"/>
          </w:tcPr>
          <w:p w14:paraId="4DF432CF">
            <w:pPr>
              <w:spacing w:line="360" w:lineRule="auto"/>
              <w:ind w:left="-90"/>
              <w:jc w:val="center"/>
              <w:rPr>
                <w:rFonts w:ascii="宋体" w:hAnsi="宋体"/>
                <w:color w:val="000000"/>
                <w:szCs w:val="21"/>
                <w:highlight w:val="none"/>
              </w:rPr>
            </w:pPr>
          </w:p>
        </w:tc>
      </w:tr>
      <w:tr w14:paraId="5BF879EA">
        <w:tblPrEx>
          <w:tblCellMar>
            <w:top w:w="0" w:type="dxa"/>
            <w:left w:w="108" w:type="dxa"/>
            <w:bottom w:w="0" w:type="dxa"/>
            <w:right w:w="108" w:type="dxa"/>
          </w:tblCellMar>
        </w:tblPrEx>
        <w:trPr>
          <w:trHeight w:val="489" w:hRule="atLeast"/>
          <w:jc w:val="center"/>
        </w:trPr>
        <w:tc>
          <w:tcPr>
            <w:tcW w:w="839" w:type="dxa"/>
            <w:vMerge w:val="restart"/>
            <w:tcBorders>
              <w:top w:val="single" w:color="auto" w:sz="4" w:space="0"/>
              <w:left w:val="single" w:color="auto" w:sz="4" w:space="0"/>
              <w:bottom w:val="nil"/>
              <w:right w:val="nil"/>
            </w:tcBorders>
            <w:noWrap w:val="0"/>
            <w:vAlign w:val="center"/>
          </w:tcPr>
          <w:p w14:paraId="07D61447">
            <w:pPr>
              <w:jc w:val="center"/>
              <w:rPr>
                <w:color w:val="000000"/>
                <w:highlight w:val="none"/>
              </w:rPr>
            </w:pPr>
            <w:r>
              <w:rPr>
                <w:color w:val="000000"/>
                <w:highlight w:val="none"/>
              </w:rPr>
              <w:t>8</w:t>
            </w:r>
          </w:p>
        </w:tc>
        <w:tc>
          <w:tcPr>
            <w:tcW w:w="1296" w:type="dxa"/>
            <w:gridSpan w:val="2"/>
            <w:vMerge w:val="restart"/>
            <w:tcBorders>
              <w:top w:val="single" w:color="auto" w:sz="4" w:space="0"/>
              <w:left w:val="single" w:color="auto" w:sz="6" w:space="0"/>
              <w:bottom w:val="nil"/>
              <w:right w:val="single" w:color="auto" w:sz="4" w:space="0"/>
            </w:tcBorders>
            <w:noWrap w:val="0"/>
            <w:vAlign w:val="center"/>
          </w:tcPr>
          <w:p w14:paraId="287413F2">
            <w:pPr>
              <w:rPr>
                <w:color w:val="000000"/>
                <w:highlight w:val="none"/>
              </w:rPr>
            </w:pPr>
            <w:r>
              <w:rPr>
                <w:rFonts w:hint="eastAsia"/>
                <w:color w:val="000000"/>
                <w:highlight w:val="none"/>
              </w:rPr>
              <w:t>项目经理</w:t>
            </w:r>
          </w:p>
        </w:tc>
        <w:tc>
          <w:tcPr>
            <w:tcW w:w="2238" w:type="dxa"/>
            <w:tcBorders>
              <w:top w:val="single" w:color="auto" w:sz="4" w:space="0"/>
              <w:left w:val="single" w:color="auto" w:sz="4" w:space="0"/>
              <w:bottom w:val="single" w:color="auto" w:sz="4" w:space="0"/>
              <w:right w:val="single" w:color="auto" w:sz="6" w:space="0"/>
            </w:tcBorders>
            <w:noWrap w:val="0"/>
            <w:vAlign w:val="center"/>
          </w:tcPr>
          <w:p w14:paraId="23568A78">
            <w:pPr>
              <w:rPr>
                <w:color w:val="000000"/>
                <w:highlight w:val="none"/>
              </w:rPr>
            </w:pPr>
            <w:r>
              <w:rPr>
                <w:rFonts w:hint="eastAsia"/>
                <w:color w:val="000000"/>
                <w:highlight w:val="none"/>
              </w:rPr>
              <w:t>姓</w:t>
            </w:r>
            <w:r>
              <w:rPr>
                <w:color w:val="000000"/>
                <w:highlight w:val="none"/>
              </w:rPr>
              <w:t xml:space="preserve">    </w:t>
            </w:r>
            <w:r>
              <w:rPr>
                <w:rFonts w:hint="eastAsia"/>
                <w:color w:val="000000"/>
                <w:highlight w:val="none"/>
              </w:rPr>
              <w:t>名</w:t>
            </w:r>
          </w:p>
        </w:tc>
        <w:tc>
          <w:tcPr>
            <w:tcW w:w="4272" w:type="dxa"/>
            <w:tcBorders>
              <w:top w:val="single" w:color="auto" w:sz="4" w:space="0"/>
              <w:left w:val="single" w:color="auto" w:sz="6" w:space="0"/>
              <w:bottom w:val="single" w:color="auto" w:sz="4" w:space="0"/>
              <w:right w:val="single" w:color="auto" w:sz="6" w:space="0"/>
            </w:tcBorders>
            <w:noWrap w:val="0"/>
            <w:vAlign w:val="center"/>
          </w:tcPr>
          <w:p w14:paraId="2ADFBFEE">
            <w:pPr>
              <w:spacing w:line="360" w:lineRule="auto"/>
              <w:ind w:left="-90"/>
              <w:jc w:val="center"/>
              <w:rPr>
                <w:rFonts w:ascii="宋体" w:hAnsi="宋体"/>
                <w:color w:val="000000"/>
                <w:szCs w:val="21"/>
                <w:highlight w:val="none"/>
              </w:rPr>
            </w:pPr>
          </w:p>
        </w:tc>
      </w:tr>
      <w:tr w14:paraId="7CADE196">
        <w:tblPrEx>
          <w:tblCellMar>
            <w:top w:w="0" w:type="dxa"/>
            <w:left w:w="108" w:type="dxa"/>
            <w:bottom w:w="0" w:type="dxa"/>
            <w:right w:w="108" w:type="dxa"/>
          </w:tblCellMar>
        </w:tblPrEx>
        <w:trPr>
          <w:trHeight w:val="489" w:hRule="atLeast"/>
          <w:jc w:val="center"/>
        </w:trPr>
        <w:tc>
          <w:tcPr>
            <w:tcW w:w="839" w:type="dxa"/>
            <w:vMerge w:val="continue"/>
            <w:tcBorders>
              <w:top w:val="single" w:color="auto" w:sz="4" w:space="0"/>
              <w:left w:val="single" w:color="auto" w:sz="4" w:space="0"/>
              <w:bottom w:val="nil"/>
              <w:right w:val="nil"/>
            </w:tcBorders>
            <w:noWrap w:val="0"/>
            <w:vAlign w:val="center"/>
          </w:tcPr>
          <w:p w14:paraId="08935598">
            <w:pPr>
              <w:widowControl/>
              <w:jc w:val="center"/>
              <w:rPr>
                <w:color w:val="000000"/>
                <w:highlight w:val="none"/>
              </w:rPr>
            </w:pPr>
          </w:p>
        </w:tc>
        <w:tc>
          <w:tcPr>
            <w:tcW w:w="6296" w:type="dxa"/>
            <w:gridSpan w:val="2"/>
            <w:vMerge w:val="continue"/>
            <w:tcBorders>
              <w:top w:val="single" w:color="auto" w:sz="4" w:space="0"/>
              <w:left w:val="single" w:color="auto" w:sz="6" w:space="0"/>
              <w:bottom w:val="nil"/>
              <w:right w:val="single" w:color="auto" w:sz="4" w:space="0"/>
            </w:tcBorders>
            <w:noWrap w:val="0"/>
            <w:vAlign w:val="center"/>
          </w:tcPr>
          <w:p w14:paraId="06F634C2">
            <w:pPr>
              <w:widowControl/>
              <w:jc w:val="left"/>
              <w:rPr>
                <w:color w:val="000000"/>
                <w:highlight w:val="none"/>
              </w:rPr>
            </w:pPr>
          </w:p>
        </w:tc>
        <w:tc>
          <w:tcPr>
            <w:tcW w:w="2238" w:type="dxa"/>
            <w:tcBorders>
              <w:top w:val="single" w:color="auto" w:sz="4" w:space="0"/>
              <w:left w:val="single" w:color="auto" w:sz="4" w:space="0"/>
              <w:bottom w:val="single" w:color="auto" w:sz="4" w:space="0"/>
              <w:right w:val="single" w:color="auto" w:sz="6" w:space="0"/>
            </w:tcBorders>
            <w:noWrap w:val="0"/>
            <w:vAlign w:val="center"/>
          </w:tcPr>
          <w:p w14:paraId="4553A492">
            <w:pPr>
              <w:rPr>
                <w:color w:val="000000"/>
                <w:highlight w:val="none"/>
              </w:rPr>
            </w:pPr>
            <w:r>
              <w:rPr>
                <w:rFonts w:hint="eastAsia"/>
                <w:color w:val="000000"/>
                <w:highlight w:val="none"/>
              </w:rPr>
              <w:t>资格等级</w:t>
            </w:r>
          </w:p>
        </w:tc>
        <w:tc>
          <w:tcPr>
            <w:tcW w:w="4272" w:type="dxa"/>
            <w:tcBorders>
              <w:top w:val="single" w:color="auto" w:sz="4" w:space="0"/>
              <w:left w:val="single" w:color="auto" w:sz="6" w:space="0"/>
              <w:bottom w:val="single" w:color="auto" w:sz="4" w:space="0"/>
              <w:right w:val="single" w:color="auto" w:sz="6" w:space="0"/>
            </w:tcBorders>
            <w:noWrap w:val="0"/>
            <w:vAlign w:val="center"/>
          </w:tcPr>
          <w:p w14:paraId="1F023D40">
            <w:pPr>
              <w:spacing w:line="360" w:lineRule="auto"/>
              <w:ind w:left="-90"/>
              <w:jc w:val="center"/>
              <w:rPr>
                <w:rFonts w:ascii="宋体" w:hAnsi="宋体"/>
                <w:color w:val="000000"/>
                <w:szCs w:val="21"/>
                <w:highlight w:val="none"/>
              </w:rPr>
            </w:pPr>
          </w:p>
        </w:tc>
      </w:tr>
      <w:tr w14:paraId="53831597">
        <w:tblPrEx>
          <w:tblCellMar>
            <w:top w:w="0" w:type="dxa"/>
            <w:left w:w="108" w:type="dxa"/>
            <w:bottom w:w="0" w:type="dxa"/>
            <w:right w:w="108" w:type="dxa"/>
          </w:tblCellMar>
        </w:tblPrEx>
        <w:trPr>
          <w:trHeight w:val="793" w:hRule="atLeast"/>
          <w:jc w:val="center"/>
        </w:trPr>
        <w:tc>
          <w:tcPr>
            <w:tcW w:w="839" w:type="dxa"/>
            <w:tcBorders>
              <w:top w:val="single" w:color="auto" w:sz="4" w:space="0"/>
              <w:left w:val="single" w:color="auto" w:sz="4" w:space="0"/>
              <w:bottom w:val="single" w:color="auto" w:sz="4" w:space="0"/>
              <w:right w:val="nil"/>
            </w:tcBorders>
            <w:noWrap w:val="0"/>
            <w:vAlign w:val="center"/>
          </w:tcPr>
          <w:p w14:paraId="2F5C34E7">
            <w:pPr>
              <w:jc w:val="center"/>
              <w:rPr>
                <w:color w:val="000000"/>
                <w:highlight w:val="none"/>
              </w:rPr>
            </w:pPr>
            <w:r>
              <w:rPr>
                <w:color w:val="000000"/>
                <w:highlight w:val="none"/>
              </w:rPr>
              <w:t>9</w:t>
            </w:r>
          </w:p>
        </w:tc>
        <w:tc>
          <w:tcPr>
            <w:tcW w:w="3534" w:type="dxa"/>
            <w:gridSpan w:val="3"/>
            <w:tcBorders>
              <w:top w:val="single" w:color="auto" w:sz="4" w:space="0"/>
              <w:left w:val="single" w:color="auto" w:sz="6" w:space="0"/>
              <w:bottom w:val="single" w:color="auto" w:sz="6" w:space="0"/>
              <w:right w:val="single" w:color="auto" w:sz="6" w:space="0"/>
            </w:tcBorders>
            <w:noWrap w:val="0"/>
            <w:vAlign w:val="center"/>
          </w:tcPr>
          <w:p w14:paraId="0C7DF9BE">
            <w:pPr>
              <w:rPr>
                <w:color w:val="000000"/>
                <w:highlight w:val="none"/>
              </w:rPr>
            </w:pPr>
            <w:r>
              <w:rPr>
                <w:rFonts w:hint="eastAsia"/>
                <w:color w:val="000000"/>
                <w:highlight w:val="none"/>
              </w:rPr>
              <w:t>备注（优惠条件）</w:t>
            </w:r>
          </w:p>
        </w:tc>
        <w:tc>
          <w:tcPr>
            <w:tcW w:w="4272" w:type="dxa"/>
            <w:tcBorders>
              <w:top w:val="single" w:color="auto" w:sz="4" w:space="0"/>
              <w:left w:val="single" w:color="auto" w:sz="6" w:space="0"/>
              <w:bottom w:val="single" w:color="auto" w:sz="6" w:space="0"/>
              <w:right w:val="single" w:color="auto" w:sz="6" w:space="0"/>
            </w:tcBorders>
            <w:noWrap w:val="0"/>
            <w:vAlign w:val="center"/>
          </w:tcPr>
          <w:p w14:paraId="076AF26D">
            <w:pPr>
              <w:spacing w:line="360" w:lineRule="auto"/>
              <w:ind w:left="-90"/>
              <w:jc w:val="center"/>
              <w:rPr>
                <w:rFonts w:ascii="宋体" w:hAnsi="宋体"/>
                <w:color w:val="000000"/>
                <w:szCs w:val="21"/>
                <w:highlight w:val="none"/>
              </w:rPr>
            </w:pPr>
          </w:p>
        </w:tc>
      </w:tr>
    </w:tbl>
    <w:p w14:paraId="0E7F8DB5">
      <w:pPr>
        <w:ind w:firstLine="630" w:firstLineChars="300"/>
        <w:rPr>
          <w:rFonts w:hint="eastAsia"/>
          <w:color w:val="000000"/>
          <w:highlight w:val="none"/>
        </w:rPr>
      </w:pPr>
    </w:p>
    <w:bookmarkEnd w:id="906"/>
    <w:bookmarkEnd w:id="907"/>
    <w:bookmarkEnd w:id="908"/>
    <w:bookmarkEnd w:id="909"/>
    <w:bookmarkEnd w:id="910"/>
    <w:bookmarkEnd w:id="911"/>
    <w:p w14:paraId="614212AF">
      <w:pPr>
        <w:ind w:firstLine="630" w:firstLineChars="300"/>
        <w:rPr>
          <w:color w:val="000000"/>
          <w:highlight w:val="none"/>
        </w:rPr>
      </w:pPr>
      <w:bookmarkStart w:id="912" w:name="_Toc7165105"/>
    </w:p>
    <w:p w14:paraId="7D095D98">
      <w:pPr>
        <w:ind w:firstLine="630" w:firstLineChars="300"/>
        <w:rPr>
          <w:color w:val="000000"/>
          <w:highlight w:val="none"/>
        </w:rPr>
      </w:pPr>
      <w:r>
        <w:rPr>
          <w:rFonts w:hint="eastAsia"/>
          <w:color w:val="000000"/>
          <w:highlight w:val="none"/>
        </w:rPr>
        <w:t>投标人：（电子签章）</w:t>
      </w:r>
    </w:p>
    <w:p w14:paraId="606B0246">
      <w:pPr>
        <w:rPr>
          <w:color w:val="000000"/>
          <w:highlight w:val="none"/>
        </w:rPr>
      </w:pPr>
    </w:p>
    <w:p w14:paraId="3AA09121">
      <w:pPr>
        <w:ind w:firstLine="630" w:firstLineChars="300"/>
        <w:rPr>
          <w:color w:val="000000"/>
          <w:highlight w:val="none"/>
        </w:rPr>
      </w:pPr>
      <w:r>
        <w:rPr>
          <w:rFonts w:hint="eastAsia"/>
          <w:color w:val="000000"/>
          <w:highlight w:val="none"/>
        </w:rPr>
        <w:t>法定代表人：（电子签章）</w:t>
      </w:r>
    </w:p>
    <w:p w14:paraId="5347ED92">
      <w:pPr>
        <w:rPr>
          <w:color w:val="000000"/>
          <w:highlight w:val="none"/>
        </w:rPr>
      </w:pPr>
      <w:r>
        <w:rPr>
          <w:color w:val="000000"/>
          <w:highlight w:val="none"/>
        </w:rPr>
        <w:t xml:space="preserve">                                       </w:t>
      </w:r>
      <w:bookmarkStart w:id="913" w:name="_Toc258440233"/>
      <w:bookmarkStart w:id="914" w:name="_Toc258431083"/>
      <w:r>
        <w:rPr>
          <w:color w:val="000000"/>
          <w:highlight w:val="none"/>
        </w:rPr>
        <w:t xml:space="preserve">           </w:t>
      </w:r>
      <w:bookmarkStart w:id="915" w:name="_Toc298522709"/>
      <w:bookmarkStart w:id="916" w:name="_Toc298522541"/>
      <w:bookmarkStart w:id="917" w:name="_Toc258441082"/>
      <w:bookmarkStart w:id="918" w:name="_Toc258505711"/>
    </w:p>
    <w:p w14:paraId="5539DFFA">
      <w:pPr>
        <w:ind w:firstLine="4725" w:firstLineChars="2250"/>
        <w:rPr>
          <w:color w:val="000000"/>
          <w:highlight w:val="none"/>
        </w:rPr>
      </w:pPr>
      <w:r>
        <w:rPr>
          <w:rFonts w:hint="eastAsia"/>
          <w:color w:val="000000"/>
          <w:highlight w:val="none"/>
        </w:rPr>
        <w:t>日期：</w:t>
      </w:r>
      <w:r>
        <w:rPr>
          <w:color w:val="000000"/>
          <w:highlight w:val="none"/>
        </w:rPr>
        <w:t xml:space="preserve">    </w:t>
      </w:r>
      <w:r>
        <w:rPr>
          <w:rFonts w:hint="eastAsia"/>
          <w:color w:val="000000"/>
          <w:highlight w:val="none"/>
        </w:rPr>
        <w:t>年</w:t>
      </w:r>
      <w:r>
        <w:rPr>
          <w:color w:val="000000"/>
          <w:highlight w:val="none"/>
        </w:rPr>
        <w:t xml:space="preserve">    </w:t>
      </w:r>
      <w:r>
        <w:rPr>
          <w:rFonts w:hint="eastAsia"/>
          <w:color w:val="000000"/>
          <w:highlight w:val="none"/>
        </w:rPr>
        <w:t>月</w:t>
      </w:r>
      <w:r>
        <w:rPr>
          <w:color w:val="000000"/>
          <w:highlight w:val="none"/>
        </w:rPr>
        <w:t xml:space="preserve">    </w:t>
      </w:r>
      <w:r>
        <w:rPr>
          <w:rFonts w:hint="eastAsia"/>
          <w:color w:val="000000"/>
          <w:highlight w:val="none"/>
        </w:rPr>
        <w:t>日</w:t>
      </w:r>
      <w:bookmarkEnd w:id="913"/>
      <w:bookmarkEnd w:id="914"/>
      <w:bookmarkEnd w:id="915"/>
      <w:bookmarkEnd w:id="916"/>
      <w:bookmarkEnd w:id="917"/>
      <w:bookmarkEnd w:id="918"/>
    </w:p>
    <w:bookmarkEnd w:id="912"/>
    <w:p w14:paraId="02DA182B">
      <w:pPr>
        <w:spacing w:before="312" w:beforeLines="100" w:after="156" w:afterLines="50"/>
        <w:jc w:val="center"/>
        <w:outlineLvl w:val="0"/>
        <w:rPr>
          <w:rFonts w:hint="eastAsia" w:ascii="黑体" w:hAnsi="宋体" w:eastAsia="黑体"/>
          <w:color w:val="000000"/>
          <w:sz w:val="28"/>
          <w:szCs w:val="28"/>
          <w:highlight w:val="none"/>
        </w:rPr>
      </w:pPr>
      <w:bookmarkStart w:id="919" w:name="_Toc155799778"/>
      <w:bookmarkStart w:id="920" w:name="_Toc149833957"/>
    </w:p>
    <w:p w14:paraId="5C184C61">
      <w:pPr>
        <w:spacing w:before="312" w:beforeLines="100" w:after="156" w:afterLines="50"/>
        <w:jc w:val="center"/>
        <w:outlineLvl w:val="0"/>
        <w:rPr>
          <w:rFonts w:ascii="黑体" w:hAnsi="宋体" w:eastAsia="黑体"/>
          <w:color w:val="000000"/>
          <w:sz w:val="28"/>
          <w:szCs w:val="28"/>
          <w:highlight w:val="none"/>
        </w:rPr>
      </w:pPr>
      <w:r>
        <w:rPr>
          <w:rFonts w:hint="eastAsia" w:ascii="黑体" w:hAnsi="宋体" w:eastAsia="黑体"/>
          <w:color w:val="000000"/>
          <w:sz w:val="28"/>
          <w:szCs w:val="28"/>
          <w:highlight w:val="none"/>
        </w:rPr>
        <w:t>二、法定代表人身份证明</w:t>
      </w:r>
      <w:bookmarkEnd w:id="919"/>
      <w:bookmarkEnd w:id="920"/>
    </w:p>
    <w:p w14:paraId="3D9B25B6">
      <w:pPr>
        <w:spacing w:line="500" w:lineRule="exact"/>
        <w:rPr>
          <w:rFonts w:hint="eastAsia" w:ascii="黑体" w:hAnsi="宋体" w:eastAsia="黑体"/>
          <w:color w:val="000000"/>
          <w:szCs w:val="21"/>
          <w:highlight w:val="none"/>
        </w:rPr>
      </w:pPr>
      <w:r>
        <w:rPr>
          <w:rFonts w:hint="eastAsia" w:ascii="黑体" w:hAnsi="宋体" w:eastAsia="黑体"/>
          <w:color w:val="000000"/>
          <w:szCs w:val="21"/>
          <w:highlight w:val="none"/>
        </w:rPr>
        <w:t>投 标 人：</w:t>
      </w:r>
      <w:r>
        <w:rPr>
          <w:rFonts w:hint="eastAsia" w:ascii="宋体" w:hAnsi="宋体"/>
          <w:color w:val="000000"/>
          <w:szCs w:val="21"/>
          <w:highlight w:val="none"/>
          <w:u w:val="single"/>
        </w:rPr>
        <w:t xml:space="preserve">                                                        </w:t>
      </w:r>
    </w:p>
    <w:p w14:paraId="0592ED0A">
      <w:pPr>
        <w:spacing w:line="500" w:lineRule="exact"/>
        <w:rPr>
          <w:rFonts w:hint="eastAsia" w:ascii="黑体" w:hAnsi="宋体" w:eastAsia="黑体"/>
          <w:color w:val="000000"/>
          <w:szCs w:val="21"/>
          <w:highlight w:val="none"/>
        </w:rPr>
      </w:pPr>
      <w:r>
        <w:rPr>
          <w:rFonts w:hint="eastAsia" w:ascii="黑体" w:hAnsi="宋体" w:eastAsia="黑体"/>
          <w:color w:val="000000"/>
          <w:szCs w:val="21"/>
          <w:highlight w:val="none"/>
        </w:rPr>
        <w:t>单位性质：</w:t>
      </w:r>
      <w:r>
        <w:rPr>
          <w:rFonts w:hint="eastAsia" w:ascii="宋体" w:hAnsi="宋体"/>
          <w:color w:val="000000"/>
          <w:szCs w:val="21"/>
          <w:highlight w:val="none"/>
          <w:u w:val="single"/>
        </w:rPr>
        <w:t xml:space="preserve">                                                        </w:t>
      </w:r>
    </w:p>
    <w:p w14:paraId="7BB91940">
      <w:pPr>
        <w:spacing w:line="500" w:lineRule="exact"/>
        <w:rPr>
          <w:rFonts w:hint="eastAsia" w:ascii="黑体" w:hAnsi="宋体" w:eastAsia="黑体"/>
          <w:color w:val="000000"/>
          <w:szCs w:val="21"/>
          <w:highlight w:val="none"/>
        </w:rPr>
      </w:pPr>
      <w:r>
        <w:rPr>
          <w:rFonts w:hint="eastAsia" w:ascii="黑体" w:hAnsi="宋体" w:eastAsia="黑体"/>
          <w:color w:val="000000"/>
          <w:szCs w:val="21"/>
          <w:highlight w:val="none"/>
        </w:rPr>
        <w:t>地    址：</w:t>
      </w:r>
      <w:r>
        <w:rPr>
          <w:rFonts w:hint="eastAsia" w:ascii="宋体" w:hAnsi="宋体"/>
          <w:color w:val="000000"/>
          <w:szCs w:val="21"/>
          <w:highlight w:val="none"/>
          <w:u w:val="single"/>
        </w:rPr>
        <w:t xml:space="preserve">                                                        </w:t>
      </w:r>
    </w:p>
    <w:p w14:paraId="6A242223">
      <w:pPr>
        <w:spacing w:line="500" w:lineRule="exact"/>
        <w:rPr>
          <w:rFonts w:hint="eastAsia" w:ascii="宋体" w:hAnsi="宋体"/>
          <w:color w:val="000000"/>
          <w:szCs w:val="21"/>
          <w:highlight w:val="none"/>
        </w:rPr>
      </w:pPr>
      <w:r>
        <w:rPr>
          <w:rFonts w:hint="eastAsia" w:ascii="黑体" w:hAnsi="宋体" w:eastAsia="黑体"/>
          <w:color w:val="000000"/>
          <w:szCs w:val="21"/>
          <w:highlight w:val="none"/>
        </w:rPr>
        <w:t>成立时间：</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3018B2AD">
      <w:pPr>
        <w:spacing w:line="500" w:lineRule="exact"/>
        <w:rPr>
          <w:rFonts w:hint="eastAsia" w:ascii="黑体" w:hAnsi="宋体" w:eastAsia="黑体"/>
          <w:color w:val="000000"/>
          <w:szCs w:val="21"/>
          <w:highlight w:val="none"/>
        </w:rPr>
      </w:pPr>
      <w:r>
        <w:rPr>
          <w:rFonts w:hint="eastAsia" w:ascii="黑体" w:hAnsi="宋体" w:eastAsia="黑体"/>
          <w:color w:val="000000"/>
          <w:szCs w:val="21"/>
          <w:highlight w:val="none"/>
        </w:rPr>
        <w:t>经营期限：</w:t>
      </w:r>
      <w:r>
        <w:rPr>
          <w:rFonts w:hint="eastAsia" w:ascii="宋体" w:hAnsi="宋体"/>
          <w:color w:val="000000"/>
          <w:szCs w:val="21"/>
          <w:highlight w:val="none"/>
          <w:u w:val="single"/>
        </w:rPr>
        <w:t xml:space="preserve">                                                        </w:t>
      </w:r>
    </w:p>
    <w:p w14:paraId="7A8FF755">
      <w:pPr>
        <w:spacing w:line="500" w:lineRule="exact"/>
        <w:rPr>
          <w:rFonts w:hint="eastAsia" w:ascii="黑体" w:hAnsi="宋体" w:eastAsia="黑体"/>
          <w:color w:val="000000"/>
          <w:szCs w:val="21"/>
          <w:highlight w:val="none"/>
        </w:rPr>
      </w:pPr>
      <w:r>
        <w:rPr>
          <w:rFonts w:hint="eastAsia" w:ascii="黑体" w:hAnsi="宋体" w:eastAsia="黑体"/>
          <w:color w:val="000000"/>
          <w:szCs w:val="21"/>
          <w:highlight w:val="none"/>
        </w:rPr>
        <w:t>姓    名：</w:t>
      </w:r>
      <w:r>
        <w:rPr>
          <w:rFonts w:hint="eastAsia" w:ascii="宋体" w:hAnsi="宋体"/>
          <w:color w:val="000000"/>
          <w:szCs w:val="21"/>
          <w:highlight w:val="none"/>
          <w:u w:val="single"/>
        </w:rPr>
        <w:t xml:space="preserve">                          </w:t>
      </w:r>
      <w:r>
        <w:rPr>
          <w:rFonts w:hint="eastAsia" w:ascii="黑体" w:hAnsi="宋体" w:eastAsia="黑体"/>
          <w:color w:val="000000"/>
          <w:szCs w:val="21"/>
          <w:highlight w:val="none"/>
        </w:rPr>
        <w:t>性        别：</w:t>
      </w:r>
      <w:r>
        <w:rPr>
          <w:rFonts w:hint="eastAsia" w:ascii="宋体" w:hAnsi="宋体"/>
          <w:color w:val="000000"/>
          <w:szCs w:val="21"/>
          <w:highlight w:val="none"/>
          <w:u w:val="single"/>
        </w:rPr>
        <w:t xml:space="preserve">                </w:t>
      </w:r>
    </w:p>
    <w:p w14:paraId="1451E5DA">
      <w:pPr>
        <w:spacing w:line="500" w:lineRule="exact"/>
        <w:rPr>
          <w:rFonts w:hint="eastAsia" w:ascii="黑体" w:hAnsi="宋体" w:eastAsia="黑体"/>
          <w:color w:val="000000"/>
          <w:szCs w:val="21"/>
          <w:highlight w:val="none"/>
        </w:rPr>
      </w:pPr>
      <w:r>
        <w:rPr>
          <w:rFonts w:hint="eastAsia" w:ascii="黑体" w:hAnsi="宋体" w:eastAsia="黑体"/>
          <w:color w:val="000000"/>
          <w:szCs w:val="21"/>
          <w:highlight w:val="none"/>
        </w:rPr>
        <w:t>年    龄：</w:t>
      </w:r>
      <w:r>
        <w:rPr>
          <w:rFonts w:hint="eastAsia" w:ascii="宋体" w:hAnsi="宋体"/>
          <w:color w:val="000000"/>
          <w:szCs w:val="21"/>
          <w:highlight w:val="none"/>
          <w:u w:val="single"/>
        </w:rPr>
        <w:t xml:space="preserve">                          </w:t>
      </w:r>
      <w:r>
        <w:rPr>
          <w:rFonts w:hint="eastAsia" w:ascii="黑体" w:hAnsi="宋体" w:eastAsia="黑体"/>
          <w:color w:val="000000"/>
          <w:szCs w:val="21"/>
          <w:highlight w:val="none"/>
        </w:rPr>
        <w:t>职        务：</w:t>
      </w:r>
      <w:r>
        <w:rPr>
          <w:rFonts w:hint="eastAsia" w:ascii="宋体" w:hAnsi="宋体"/>
          <w:color w:val="000000"/>
          <w:szCs w:val="21"/>
          <w:highlight w:val="none"/>
          <w:u w:val="single"/>
        </w:rPr>
        <w:t xml:space="preserve">                </w:t>
      </w:r>
    </w:p>
    <w:p w14:paraId="0E86F829">
      <w:pPr>
        <w:spacing w:line="500" w:lineRule="exact"/>
        <w:rPr>
          <w:rFonts w:hint="eastAsia" w:ascii="宋体" w:hAnsi="宋体"/>
          <w:color w:val="000000"/>
          <w:szCs w:val="21"/>
          <w:highlight w:val="none"/>
        </w:rPr>
      </w:pPr>
      <w:r>
        <w:rPr>
          <w:rFonts w:hint="eastAsia" w:ascii="宋体" w:hAnsi="宋体"/>
          <w:color w:val="000000"/>
          <w:szCs w:val="21"/>
          <w:highlight w:val="none"/>
        </w:rPr>
        <w:t>系</w:t>
      </w:r>
      <w:r>
        <w:rPr>
          <w:rFonts w:hint="eastAsia" w:ascii="宋体" w:hAnsi="宋体"/>
          <w:color w:val="000000"/>
          <w:szCs w:val="21"/>
          <w:highlight w:val="none"/>
          <w:u w:val="single"/>
        </w:rPr>
        <w:t xml:space="preserve">                                                 </w:t>
      </w:r>
      <w:r>
        <w:rPr>
          <w:rFonts w:hint="eastAsia" w:ascii="宋体" w:hAnsi="宋体"/>
          <w:color w:val="000000"/>
          <w:szCs w:val="21"/>
          <w:highlight w:val="none"/>
        </w:rPr>
        <w:t>（投标人名称）的法定代表人。</w:t>
      </w:r>
    </w:p>
    <w:p w14:paraId="3BF3E497">
      <w:pPr>
        <w:spacing w:line="500" w:lineRule="exact"/>
        <w:rPr>
          <w:rFonts w:hint="eastAsia" w:ascii="宋体" w:hAnsi="宋体"/>
          <w:color w:val="000000"/>
          <w:szCs w:val="21"/>
          <w:highlight w:val="none"/>
        </w:rPr>
      </w:pPr>
      <w:r>
        <w:rPr>
          <w:rFonts w:hint="eastAsia" w:ascii="宋体" w:hAnsi="宋体"/>
          <w:color w:val="000000"/>
          <w:szCs w:val="21"/>
          <w:highlight w:val="none"/>
        </w:rPr>
        <w:t>特此证明。</w:t>
      </w:r>
    </w:p>
    <w:p w14:paraId="6AEE6E41">
      <w:pPr>
        <w:spacing w:line="500" w:lineRule="exact"/>
        <w:rPr>
          <w:rFonts w:hint="eastAsia" w:ascii="宋体" w:hAnsi="宋体"/>
          <w:color w:val="000000"/>
          <w:szCs w:val="21"/>
          <w:highlight w:val="none"/>
        </w:rPr>
      </w:pPr>
    </w:p>
    <w:p w14:paraId="2B1A7DE6">
      <w:pPr>
        <w:spacing w:line="500" w:lineRule="exact"/>
        <w:rPr>
          <w:rFonts w:hint="eastAsia" w:ascii="宋体" w:hAnsi="宋体"/>
          <w:color w:val="000000"/>
          <w:szCs w:val="21"/>
          <w:highlight w:val="none"/>
        </w:rPr>
      </w:pPr>
    </w:p>
    <w:p w14:paraId="085E3BBC">
      <w:pPr>
        <w:spacing w:line="500" w:lineRule="exact"/>
        <w:rPr>
          <w:rFonts w:hint="eastAsia" w:ascii="宋体" w:hAnsi="宋体"/>
          <w:color w:val="000000"/>
          <w:szCs w:val="21"/>
          <w:highlight w:val="none"/>
        </w:rPr>
      </w:pPr>
    </w:p>
    <w:p w14:paraId="1E5E2C45">
      <w:pPr>
        <w:spacing w:line="500" w:lineRule="exact"/>
        <w:rPr>
          <w:rFonts w:hint="eastAsia" w:ascii="宋体" w:hAnsi="宋体"/>
          <w:color w:val="000000"/>
          <w:szCs w:val="21"/>
          <w:highlight w:val="none"/>
        </w:rPr>
      </w:pPr>
    </w:p>
    <w:p w14:paraId="4B90AB81">
      <w:pPr>
        <w:wordWrap w:val="0"/>
        <w:spacing w:line="500" w:lineRule="exact"/>
        <w:jc w:val="right"/>
        <w:rPr>
          <w:rFonts w:hint="eastAsia" w:ascii="宋体" w:hAnsi="宋体"/>
          <w:color w:val="000000"/>
          <w:szCs w:val="21"/>
          <w:highlight w:val="none"/>
        </w:rPr>
      </w:pPr>
      <w:r>
        <w:rPr>
          <w:rFonts w:hint="eastAsia" w:ascii="黑体" w:hAnsi="宋体" w:eastAsia="黑体"/>
          <w:color w:val="000000"/>
          <w:szCs w:val="21"/>
          <w:highlight w:val="none"/>
        </w:rPr>
        <w:t>投标人：</w:t>
      </w:r>
      <w:r>
        <w:rPr>
          <w:rFonts w:hint="eastAsia" w:ascii="宋体" w:hAnsi="宋体"/>
          <w:color w:val="000000"/>
          <w:szCs w:val="21"/>
          <w:highlight w:val="none"/>
          <w:u w:val="single"/>
        </w:rPr>
        <w:t xml:space="preserve">                          </w:t>
      </w:r>
      <w:r>
        <w:rPr>
          <w:rFonts w:hint="eastAsia"/>
          <w:color w:val="000000"/>
          <w:highlight w:val="none"/>
        </w:rPr>
        <w:t>（电子签章）</w:t>
      </w:r>
    </w:p>
    <w:p w14:paraId="25A4D965">
      <w:pPr>
        <w:wordWrap w:val="0"/>
        <w:spacing w:line="500" w:lineRule="exact"/>
        <w:jc w:val="right"/>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           </w:t>
      </w:r>
    </w:p>
    <w:p w14:paraId="1DD0E984">
      <w:pPr>
        <w:spacing w:before="312" w:beforeLines="100" w:after="156" w:afterLines="50"/>
        <w:jc w:val="center"/>
        <w:outlineLvl w:val="0"/>
        <w:rPr>
          <w:rFonts w:hint="eastAsia" w:ascii="黑体" w:hAnsi="宋体" w:eastAsia="黑体"/>
          <w:color w:val="000000"/>
          <w:sz w:val="28"/>
          <w:szCs w:val="28"/>
          <w:highlight w:val="none"/>
        </w:rPr>
      </w:pPr>
      <w:r>
        <w:rPr>
          <w:rFonts w:hint="eastAsia" w:ascii="宋体" w:hAnsi="宋体"/>
          <w:color w:val="000000"/>
          <w:szCs w:val="21"/>
          <w:highlight w:val="none"/>
        </w:rPr>
        <w:br w:type="page"/>
      </w:r>
      <w:bookmarkStart w:id="921" w:name="_Toc155799779"/>
      <w:bookmarkStart w:id="922" w:name="_Toc149833958"/>
      <w:r>
        <w:rPr>
          <w:rFonts w:hint="eastAsia" w:ascii="黑体" w:hAnsi="宋体" w:eastAsia="黑体"/>
          <w:color w:val="000000"/>
          <w:sz w:val="28"/>
          <w:szCs w:val="28"/>
          <w:highlight w:val="none"/>
        </w:rPr>
        <w:t>三、</w:t>
      </w:r>
      <w:r>
        <w:rPr>
          <w:rFonts w:hint="eastAsia" w:ascii="黑体" w:eastAsia="黑体"/>
          <w:color w:val="000000"/>
          <w:sz w:val="28"/>
          <w:szCs w:val="28"/>
          <w:highlight w:val="none"/>
        </w:rPr>
        <w:t>法定代表人授权委托书</w:t>
      </w:r>
      <w:bookmarkEnd w:id="921"/>
      <w:bookmarkEnd w:id="922"/>
    </w:p>
    <w:p w14:paraId="24989291">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本人</w:t>
      </w:r>
      <w:r>
        <w:rPr>
          <w:rFonts w:hint="eastAsia" w:ascii="宋体" w:hAnsi="宋体"/>
          <w:color w:val="000000"/>
          <w:szCs w:val="21"/>
          <w:highlight w:val="none"/>
          <w:u w:val="single"/>
        </w:rPr>
        <w:t xml:space="preserve">         </w:t>
      </w:r>
      <w:r>
        <w:rPr>
          <w:rFonts w:hint="eastAsia" w:ascii="宋体" w:hAnsi="宋体"/>
          <w:color w:val="000000"/>
          <w:szCs w:val="21"/>
          <w:highlight w:val="none"/>
        </w:rPr>
        <w:t>（姓名）系</w:t>
      </w:r>
      <w:r>
        <w:rPr>
          <w:rFonts w:hint="eastAsia" w:ascii="宋体" w:hAnsi="宋体"/>
          <w:color w:val="000000"/>
          <w:szCs w:val="21"/>
          <w:highlight w:val="none"/>
          <w:u w:val="single"/>
        </w:rPr>
        <w:t xml:space="preserve">         </w:t>
      </w:r>
      <w:r>
        <w:rPr>
          <w:rFonts w:hint="eastAsia" w:ascii="宋体" w:hAnsi="宋体"/>
          <w:color w:val="000000"/>
          <w:szCs w:val="21"/>
          <w:highlight w:val="none"/>
        </w:rPr>
        <w:t>（投标人名称）的法定代表人，现委托</w:t>
      </w:r>
      <w:r>
        <w:rPr>
          <w:rFonts w:hint="eastAsia" w:ascii="宋体" w:hAnsi="宋体"/>
          <w:color w:val="000000"/>
          <w:szCs w:val="21"/>
          <w:highlight w:val="none"/>
          <w:u w:val="single"/>
        </w:rPr>
        <w:t xml:space="preserve">      </w:t>
      </w:r>
      <w:r>
        <w:rPr>
          <w:rFonts w:hint="eastAsia" w:ascii="宋体" w:hAnsi="宋体"/>
          <w:color w:val="000000"/>
          <w:szCs w:val="21"/>
          <w:highlight w:val="none"/>
        </w:rPr>
        <w:t>（姓名）为我方代理人，联系电话</w:t>
      </w:r>
      <w:r>
        <w:rPr>
          <w:rFonts w:hint="eastAsia" w:ascii="宋体" w:hAnsi="宋体"/>
          <w:color w:val="000000"/>
          <w:szCs w:val="21"/>
          <w:highlight w:val="none"/>
          <w:u w:val="single"/>
        </w:rPr>
        <w:t xml:space="preserve">              </w:t>
      </w:r>
      <w:r>
        <w:rPr>
          <w:rFonts w:hint="eastAsia" w:ascii="宋体" w:hAnsi="宋体"/>
          <w:color w:val="000000"/>
          <w:szCs w:val="21"/>
          <w:highlight w:val="none"/>
        </w:rPr>
        <w:t>。代理人根据授权，以我方名义签署、澄清、说明、补正、递交、撤回、修改</w:t>
      </w:r>
      <w:r>
        <w:rPr>
          <w:rFonts w:hint="eastAsia" w:ascii="宋体" w:hAnsi="宋体"/>
          <w:color w:val="000000"/>
          <w:szCs w:val="21"/>
          <w:highlight w:val="none"/>
          <w:u w:val="single"/>
        </w:rPr>
        <w:t xml:space="preserve">             </w:t>
      </w:r>
      <w:r>
        <w:rPr>
          <w:rFonts w:hint="eastAsia" w:ascii="宋体" w:hAnsi="宋体"/>
          <w:color w:val="000000"/>
          <w:szCs w:val="21"/>
          <w:highlight w:val="none"/>
        </w:rPr>
        <w:t>（项目名称）投标文件、签订合同和处理有关事宜，其法律后果由我方承担。</w:t>
      </w:r>
    </w:p>
    <w:p w14:paraId="343BB904">
      <w:pPr>
        <w:spacing w:before="156" w:beforeLines="50"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委托期限：</w:t>
      </w:r>
      <w:r>
        <w:rPr>
          <w:rFonts w:hint="eastAsia" w:ascii="宋体" w:hAnsi="宋体"/>
          <w:color w:val="000000"/>
          <w:szCs w:val="21"/>
          <w:highlight w:val="none"/>
          <w:u w:val="single"/>
        </w:rPr>
        <w:t xml:space="preserve">                                                          </w:t>
      </w:r>
    </w:p>
    <w:p w14:paraId="6FC52130">
      <w:pPr>
        <w:spacing w:line="500" w:lineRule="exact"/>
        <w:ind w:firstLine="1260" w:firstLineChars="600"/>
        <w:rPr>
          <w:rFonts w:hint="eastAsia"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14:paraId="73F27719">
      <w:pPr>
        <w:spacing w:before="312" w:beforeLines="100" w:after="312" w:afterLines="100"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代理人无转委托权。</w:t>
      </w:r>
    </w:p>
    <w:p w14:paraId="4525A67C">
      <w:pPr>
        <w:spacing w:after="312" w:afterLines="100"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附：法定代表人、委托代理人身份证复印件</w:t>
      </w:r>
    </w:p>
    <w:p w14:paraId="0D60BFEF">
      <w:pPr>
        <w:spacing w:line="500" w:lineRule="exact"/>
        <w:rPr>
          <w:rFonts w:hint="eastAsia" w:ascii="宋体" w:hAnsi="宋体"/>
          <w:color w:val="000000"/>
          <w:szCs w:val="21"/>
          <w:highlight w:val="none"/>
        </w:rPr>
      </w:pPr>
    </w:p>
    <w:p w14:paraId="6D6A0A6F">
      <w:pPr>
        <w:spacing w:line="500" w:lineRule="exact"/>
        <w:rPr>
          <w:rFonts w:hint="eastAsia" w:ascii="宋体" w:hAnsi="宋体"/>
          <w:color w:val="000000"/>
          <w:szCs w:val="21"/>
          <w:highlight w:val="none"/>
        </w:rPr>
      </w:pPr>
    </w:p>
    <w:p w14:paraId="6C51CE6C">
      <w:pPr>
        <w:spacing w:line="400" w:lineRule="exact"/>
        <w:rPr>
          <w:rFonts w:hint="eastAsia" w:ascii="宋体" w:hAnsi="宋体"/>
          <w:color w:val="000000"/>
          <w:szCs w:val="21"/>
          <w:highlight w:val="none"/>
        </w:rPr>
      </w:pPr>
      <w:r>
        <w:rPr>
          <w:rFonts w:hint="eastAsia" w:ascii="宋体" w:hAnsi="宋体"/>
          <w:color w:val="000000"/>
          <w:szCs w:val="21"/>
          <w:highlight w:val="none"/>
        </w:rPr>
        <w:t>投  标  人：</w:t>
      </w:r>
      <w:r>
        <w:rPr>
          <w:rFonts w:hint="eastAsia" w:ascii="宋体" w:hAnsi="宋体"/>
          <w:color w:val="000000"/>
          <w:szCs w:val="21"/>
          <w:highlight w:val="none"/>
          <w:u w:val="single"/>
        </w:rPr>
        <w:t xml:space="preserve">                        </w:t>
      </w:r>
      <w:r>
        <w:rPr>
          <w:rFonts w:hint="eastAsia"/>
          <w:color w:val="000000"/>
          <w:highlight w:val="none"/>
        </w:rPr>
        <w:t>（电子签章）</w:t>
      </w:r>
    </w:p>
    <w:p w14:paraId="67679910">
      <w:pPr>
        <w:spacing w:line="400" w:lineRule="exact"/>
        <w:rPr>
          <w:rFonts w:hint="eastAsia" w:ascii="宋体" w:hAnsi="宋体"/>
          <w:color w:val="000000"/>
          <w:szCs w:val="21"/>
          <w:highlight w:val="none"/>
        </w:rPr>
      </w:pPr>
    </w:p>
    <w:p w14:paraId="3A5CF82F">
      <w:pPr>
        <w:spacing w:line="400" w:lineRule="exact"/>
        <w:rPr>
          <w:rFonts w:hint="eastAsia"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color w:val="000000"/>
          <w:highlight w:val="none"/>
        </w:rPr>
        <w:t>（电子签章）</w:t>
      </w:r>
    </w:p>
    <w:p w14:paraId="29860993">
      <w:pPr>
        <w:spacing w:line="400" w:lineRule="exact"/>
        <w:ind w:firstLine="3570" w:firstLineChars="1700"/>
        <w:rPr>
          <w:rFonts w:hint="eastAsia" w:ascii="宋体" w:hAnsi="宋体"/>
          <w:color w:val="000000"/>
          <w:szCs w:val="21"/>
          <w:highlight w:val="none"/>
        </w:rPr>
      </w:pPr>
    </w:p>
    <w:p w14:paraId="6F8B0BD5">
      <w:pPr>
        <w:spacing w:line="400" w:lineRule="exact"/>
        <w:ind w:firstLine="3570" w:firstLineChars="1700"/>
        <w:rPr>
          <w:rFonts w:hint="eastAsia" w:ascii="宋体" w:hAnsi="宋体"/>
          <w:color w:val="000000"/>
          <w:szCs w:val="21"/>
          <w:highlight w:val="none"/>
        </w:rPr>
      </w:pPr>
    </w:p>
    <w:p w14:paraId="34A70393">
      <w:pPr>
        <w:spacing w:line="400" w:lineRule="exact"/>
        <w:ind w:firstLine="4830" w:firstLineChars="2300"/>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32DFFABE">
      <w:pPr>
        <w:spacing w:before="312" w:beforeLines="100" w:after="156" w:afterLines="50"/>
        <w:outlineLvl w:val="0"/>
        <w:rPr>
          <w:rFonts w:hint="eastAsia" w:ascii="宋体" w:hAnsi="宋体"/>
          <w:color w:val="000000"/>
          <w:szCs w:val="21"/>
          <w:highlight w:val="none"/>
        </w:rPr>
      </w:pPr>
      <w:r>
        <w:rPr>
          <w:rFonts w:hint="eastAsia" w:ascii="宋体" w:hAnsi="宋体"/>
          <w:color w:val="000000"/>
          <w:szCs w:val="21"/>
          <w:highlight w:val="none"/>
        </w:rPr>
        <w:t xml:space="preserve"> </w:t>
      </w:r>
    </w:p>
    <w:p w14:paraId="672CC427">
      <w:pPr>
        <w:spacing w:before="312" w:beforeLines="100" w:after="156" w:afterLines="50"/>
        <w:outlineLvl w:val="0"/>
        <w:rPr>
          <w:rFonts w:hint="eastAsia" w:ascii="宋体" w:hAnsi="宋体"/>
          <w:color w:val="000000"/>
          <w:szCs w:val="21"/>
          <w:highlight w:val="none"/>
        </w:rPr>
      </w:pPr>
      <w:r>
        <w:rPr>
          <w:rFonts w:hint="eastAsia" w:ascii="宋体" w:hAnsi="宋体"/>
          <w:color w:val="000000"/>
          <w:szCs w:val="21"/>
          <w:highlight w:val="none"/>
        </w:rPr>
        <w:t xml:space="preserve"> </w:t>
      </w:r>
    </w:p>
    <w:p w14:paraId="3280F8CF">
      <w:pPr>
        <w:spacing w:before="312" w:beforeLines="100" w:after="156" w:afterLines="50"/>
        <w:jc w:val="center"/>
        <w:outlineLvl w:val="0"/>
        <w:rPr>
          <w:rFonts w:hint="eastAsia" w:ascii="黑体" w:hAnsi="宋体" w:eastAsia="黑体"/>
          <w:color w:val="000000"/>
          <w:sz w:val="28"/>
          <w:szCs w:val="28"/>
          <w:highlight w:val="none"/>
        </w:rPr>
      </w:pPr>
      <w:r>
        <w:rPr>
          <w:rFonts w:hint="eastAsia" w:ascii="黑体" w:hAnsi="宋体" w:eastAsia="黑体"/>
          <w:color w:val="000000"/>
          <w:sz w:val="28"/>
          <w:szCs w:val="28"/>
          <w:highlight w:val="none"/>
        </w:rPr>
        <w:br w:type="page"/>
      </w:r>
      <w:bookmarkStart w:id="923" w:name="_Toc149833959"/>
      <w:bookmarkStart w:id="924" w:name="_Toc155799780"/>
      <w:r>
        <w:rPr>
          <w:rFonts w:hint="eastAsia" w:ascii="黑体" w:hAnsi="宋体" w:eastAsia="黑体"/>
          <w:color w:val="000000"/>
          <w:sz w:val="28"/>
          <w:szCs w:val="28"/>
          <w:highlight w:val="none"/>
        </w:rPr>
        <w:t>四、已标价工程量清单</w:t>
      </w:r>
      <w:bookmarkEnd w:id="923"/>
      <w:bookmarkEnd w:id="924"/>
    </w:p>
    <w:p w14:paraId="563391B3">
      <w:pPr>
        <w:spacing w:line="460" w:lineRule="exact"/>
        <w:rPr>
          <w:rFonts w:hint="eastAsia" w:ascii="宋体" w:hAnsi="宋体"/>
          <w:color w:val="000000"/>
          <w:szCs w:val="21"/>
          <w:highlight w:val="none"/>
        </w:rPr>
      </w:pPr>
      <w:r>
        <w:rPr>
          <w:rFonts w:hint="eastAsia" w:ascii="黑体" w:hAnsi="宋体" w:eastAsia="黑体"/>
          <w:color w:val="000000"/>
          <w:szCs w:val="21"/>
          <w:highlight w:val="none"/>
        </w:rPr>
        <w:t>说明：</w:t>
      </w:r>
      <w:r>
        <w:rPr>
          <w:rFonts w:hint="eastAsia" w:ascii="宋体" w:hAnsi="宋体"/>
          <w:color w:val="000000"/>
          <w:szCs w:val="21"/>
          <w:highlight w:val="none"/>
        </w:rPr>
        <w:t>已标价工程量清单按第五章“工程量清单”中的相关清单表格式填写。构成合同文件</w:t>
      </w:r>
    </w:p>
    <w:p w14:paraId="45ECA294">
      <w:pPr>
        <w:spacing w:line="460" w:lineRule="exact"/>
        <w:rPr>
          <w:rFonts w:hint="eastAsia" w:ascii="宋体" w:hAnsi="宋体"/>
          <w:color w:val="000000"/>
          <w:szCs w:val="21"/>
          <w:highlight w:val="none"/>
        </w:rPr>
      </w:pPr>
      <w:r>
        <w:rPr>
          <w:rFonts w:hint="eastAsia" w:ascii="宋体" w:hAnsi="宋体"/>
          <w:color w:val="000000"/>
          <w:szCs w:val="21"/>
          <w:highlight w:val="none"/>
        </w:rPr>
        <w:t>的已标价工程量清单包括第五章“工程量清单”有关工程量清单、投标报价以及其他说明的</w:t>
      </w:r>
    </w:p>
    <w:p w14:paraId="4054009C">
      <w:pPr>
        <w:spacing w:line="460" w:lineRule="exact"/>
        <w:rPr>
          <w:rFonts w:hint="eastAsia" w:ascii="宋体" w:hAnsi="宋体"/>
          <w:color w:val="000000"/>
          <w:szCs w:val="21"/>
          <w:highlight w:val="none"/>
        </w:rPr>
      </w:pPr>
      <w:r>
        <w:rPr>
          <w:rFonts w:hint="eastAsia" w:ascii="宋体" w:hAnsi="宋体"/>
          <w:color w:val="000000"/>
          <w:szCs w:val="21"/>
          <w:highlight w:val="none"/>
        </w:rPr>
        <w:t>内容。</w:t>
      </w:r>
    </w:p>
    <w:p w14:paraId="7678CA9C">
      <w:pPr>
        <w:spacing w:before="312" w:beforeLines="100" w:after="156" w:afterLines="50"/>
        <w:jc w:val="center"/>
        <w:outlineLvl w:val="0"/>
        <w:rPr>
          <w:rFonts w:hint="eastAsia" w:ascii="宋体" w:hAnsi="宋体"/>
          <w:color w:val="000000"/>
          <w:szCs w:val="21"/>
          <w:highlight w:val="none"/>
        </w:rPr>
      </w:pPr>
    </w:p>
    <w:p w14:paraId="365DD4A8">
      <w:pPr>
        <w:spacing w:before="312" w:beforeLines="100" w:after="156" w:afterLines="50"/>
        <w:jc w:val="center"/>
        <w:outlineLvl w:val="0"/>
        <w:rPr>
          <w:rFonts w:hint="eastAsia" w:ascii="宋体" w:hAnsi="宋体"/>
          <w:color w:val="000000"/>
          <w:szCs w:val="21"/>
          <w:highlight w:val="none"/>
        </w:rPr>
      </w:pPr>
    </w:p>
    <w:p w14:paraId="45524DF5">
      <w:pPr>
        <w:spacing w:before="312" w:beforeLines="100" w:after="156" w:afterLines="50"/>
        <w:jc w:val="center"/>
        <w:outlineLvl w:val="0"/>
        <w:rPr>
          <w:rFonts w:hint="eastAsia" w:ascii="宋体" w:hAnsi="宋体"/>
          <w:color w:val="000000"/>
          <w:szCs w:val="21"/>
          <w:highlight w:val="none"/>
        </w:rPr>
      </w:pPr>
    </w:p>
    <w:p w14:paraId="3F38027B">
      <w:pPr>
        <w:spacing w:before="312" w:beforeLines="100" w:after="156" w:afterLines="50"/>
        <w:jc w:val="center"/>
        <w:outlineLvl w:val="0"/>
        <w:rPr>
          <w:rFonts w:hint="eastAsia" w:ascii="宋体" w:hAnsi="宋体"/>
          <w:color w:val="000000"/>
          <w:szCs w:val="21"/>
          <w:highlight w:val="none"/>
        </w:rPr>
      </w:pPr>
    </w:p>
    <w:p w14:paraId="1978CC0B">
      <w:pPr>
        <w:spacing w:before="312" w:beforeLines="100" w:after="156" w:afterLines="50"/>
        <w:jc w:val="center"/>
        <w:outlineLvl w:val="0"/>
        <w:rPr>
          <w:rFonts w:hint="eastAsia" w:ascii="宋体" w:hAnsi="宋体"/>
          <w:color w:val="000000"/>
          <w:szCs w:val="21"/>
          <w:highlight w:val="none"/>
        </w:rPr>
      </w:pPr>
    </w:p>
    <w:p w14:paraId="18F25D10">
      <w:pPr>
        <w:spacing w:before="312" w:beforeLines="100" w:after="156" w:afterLines="50"/>
        <w:jc w:val="center"/>
        <w:outlineLvl w:val="0"/>
        <w:rPr>
          <w:rFonts w:hint="eastAsia" w:ascii="宋体" w:hAnsi="宋体"/>
          <w:color w:val="000000"/>
          <w:szCs w:val="21"/>
          <w:highlight w:val="none"/>
        </w:rPr>
      </w:pPr>
    </w:p>
    <w:p w14:paraId="697F2E16">
      <w:pPr>
        <w:spacing w:before="312" w:beforeLines="100" w:after="156" w:afterLines="50"/>
        <w:jc w:val="center"/>
        <w:outlineLvl w:val="0"/>
        <w:rPr>
          <w:rFonts w:hint="eastAsia" w:ascii="宋体" w:hAnsi="宋体"/>
          <w:color w:val="000000"/>
          <w:szCs w:val="21"/>
          <w:highlight w:val="none"/>
        </w:rPr>
      </w:pPr>
    </w:p>
    <w:p w14:paraId="34B3D2AE">
      <w:pPr>
        <w:spacing w:before="312" w:beforeLines="100" w:after="156" w:afterLines="50"/>
        <w:jc w:val="center"/>
        <w:outlineLvl w:val="0"/>
        <w:rPr>
          <w:rFonts w:hint="eastAsia" w:ascii="宋体" w:hAnsi="宋体"/>
          <w:color w:val="000000"/>
          <w:szCs w:val="21"/>
          <w:highlight w:val="none"/>
        </w:rPr>
      </w:pPr>
    </w:p>
    <w:p w14:paraId="5BDD49F9">
      <w:pPr>
        <w:spacing w:before="312" w:beforeLines="100" w:after="156" w:afterLines="50"/>
        <w:jc w:val="center"/>
        <w:outlineLvl w:val="0"/>
        <w:rPr>
          <w:rFonts w:hint="eastAsia" w:ascii="宋体" w:hAnsi="宋体"/>
          <w:color w:val="000000"/>
          <w:szCs w:val="21"/>
          <w:highlight w:val="none"/>
        </w:rPr>
      </w:pPr>
    </w:p>
    <w:p w14:paraId="6CC5C732">
      <w:pPr>
        <w:spacing w:before="312" w:beforeLines="100" w:after="156" w:afterLines="50"/>
        <w:jc w:val="center"/>
        <w:outlineLvl w:val="0"/>
        <w:rPr>
          <w:rFonts w:hint="eastAsia" w:ascii="宋体" w:hAnsi="宋体"/>
          <w:color w:val="000000"/>
          <w:szCs w:val="21"/>
          <w:highlight w:val="none"/>
        </w:rPr>
      </w:pPr>
    </w:p>
    <w:p w14:paraId="594B5B50">
      <w:pPr>
        <w:spacing w:before="312" w:beforeLines="100" w:after="156" w:afterLines="50"/>
        <w:jc w:val="center"/>
        <w:outlineLvl w:val="0"/>
        <w:rPr>
          <w:rFonts w:hint="eastAsia" w:ascii="宋体" w:hAnsi="宋体"/>
          <w:color w:val="000000"/>
          <w:szCs w:val="21"/>
          <w:highlight w:val="none"/>
        </w:rPr>
      </w:pPr>
    </w:p>
    <w:p w14:paraId="1D72195D">
      <w:pPr>
        <w:spacing w:before="312" w:beforeLines="100" w:after="156" w:afterLines="50"/>
        <w:jc w:val="center"/>
        <w:outlineLvl w:val="0"/>
        <w:rPr>
          <w:rFonts w:hint="eastAsia" w:ascii="宋体" w:hAnsi="宋体"/>
          <w:color w:val="000000"/>
          <w:szCs w:val="21"/>
          <w:highlight w:val="none"/>
        </w:rPr>
      </w:pPr>
    </w:p>
    <w:p w14:paraId="17C54B02">
      <w:pPr>
        <w:spacing w:before="312" w:beforeLines="100" w:after="156" w:afterLines="50"/>
        <w:jc w:val="center"/>
        <w:outlineLvl w:val="0"/>
        <w:rPr>
          <w:rFonts w:hint="eastAsia" w:ascii="宋体" w:hAnsi="宋体"/>
          <w:color w:val="000000"/>
          <w:szCs w:val="21"/>
          <w:highlight w:val="none"/>
        </w:rPr>
      </w:pPr>
    </w:p>
    <w:p w14:paraId="44C0C4E0">
      <w:pPr>
        <w:spacing w:before="312" w:beforeLines="100" w:after="156" w:afterLines="50"/>
        <w:jc w:val="center"/>
        <w:outlineLvl w:val="0"/>
        <w:rPr>
          <w:rFonts w:hint="eastAsia" w:ascii="宋体" w:hAnsi="宋体"/>
          <w:color w:val="000000"/>
          <w:szCs w:val="21"/>
          <w:highlight w:val="none"/>
        </w:rPr>
      </w:pPr>
    </w:p>
    <w:p w14:paraId="15CE99A4">
      <w:pPr>
        <w:spacing w:before="312" w:beforeLines="100" w:after="156" w:afterLines="50"/>
        <w:jc w:val="center"/>
        <w:outlineLvl w:val="0"/>
        <w:rPr>
          <w:rFonts w:hint="eastAsia" w:ascii="宋体" w:hAnsi="宋体"/>
          <w:color w:val="000000"/>
          <w:szCs w:val="21"/>
          <w:highlight w:val="none"/>
        </w:rPr>
      </w:pPr>
    </w:p>
    <w:p w14:paraId="78B37171">
      <w:pPr>
        <w:spacing w:before="312" w:beforeLines="100" w:after="156" w:afterLines="50"/>
        <w:jc w:val="center"/>
        <w:outlineLvl w:val="0"/>
        <w:rPr>
          <w:rFonts w:hint="eastAsia" w:ascii="宋体" w:hAnsi="宋体"/>
          <w:color w:val="000000"/>
          <w:szCs w:val="21"/>
          <w:highlight w:val="none"/>
        </w:rPr>
      </w:pPr>
    </w:p>
    <w:p w14:paraId="09DF60AC">
      <w:pPr>
        <w:spacing w:before="312" w:beforeLines="100" w:after="156" w:afterLines="50"/>
        <w:jc w:val="center"/>
        <w:outlineLvl w:val="0"/>
        <w:rPr>
          <w:rFonts w:hint="eastAsia" w:ascii="宋体" w:hAnsi="宋体"/>
          <w:color w:val="000000"/>
          <w:szCs w:val="21"/>
          <w:highlight w:val="none"/>
        </w:rPr>
      </w:pPr>
    </w:p>
    <w:p w14:paraId="72FF4E71">
      <w:pPr>
        <w:spacing w:before="312" w:beforeLines="100" w:after="156" w:afterLines="50"/>
        <w:jc w:val="center"/>
        <w:outlineLvl w:val="0"/>
        <w:rPr>
          <w:rFonts w:hint="eastAsia" w:ascii="宋体" w:hAnsi="宋体"/>
          <w:color w:val="000000"/>
          <w:szCs w:val="21"/>
          <w:highlight w:val="none"/>
        </w:rPr>
      </w:pPr>
    </w:p>
    <w:p w14:paraId="4E99155E">
      <w:pPr>
        <w:spacing w:before="312" w:beforeLines="100" w:after="156" w:afterLines="50"/>
        <w:jc w:val="center"/>
        <w:outlineLvl w:val="0"/>
        <w:rPr>
          <w:rFonts w:hint="eastAsia" w:ascii="黑体" w:hAnsi="宋体" w:eastAsia="黑体"/>
          <w:color w:val="000000"/>
          <w:sz w:val="28"/>
          <w:szCs w:val="28"/>
          <w:highlight w:val="none"/>
        </w:rPr>
      </w:pPr>
      <w:bookmarkStart w:id="925" w:name="_Toc155799781"/>
      <w:bookmarkStart w:id="926" w:name="_Toc149833960"/>
      <w:r>
        <w:rPr>
          <w:rFonts w:hint="eastAsia" w:ascii="黑体" w:hAnsi="宋体" w:eastAsia="黑体"/>
          <w:color w:val="000000"/>
          <w:sz w:val="28"/>
          <w:szCs w:val="28"/>
          <w:highlight w:val="none"/>
        </w:rPr>
        <w:t>五、</w:t>
      </w:r>
      <w:r>
        <w:rPr>
          <w:rFonts w:hint="eastAsia" w:ascii="黑体" w:eastAsia="黑体"/>
          <w:color w:val="000000"/>
          <w:sz w:val="28"/>
          <w:szCs w:val="28"/>
          <w:highlight w:val="none"/>
        </w:rPr>
        <w:t>实质性条款承诺书</w:t>
      </w:r>
      <w:bookmarkEnd w:id="925"/>
      <w:bookmarkEnd w:id="926"/>
    </w:p>
    <w:p w14:paraId="568DF1AB">
      <w:pPr>
        <w:spacing w:before="312" w:beforeLines="100" w:after="156" w:afterLines="50"/>
        <w:jc w:val="center"/>
        <w:outlineLvl w:val="0"/>
        <w:rPr>
          <w:rFonts w:hint="eastAsia" w:ascii="宋体" w:hAnsi="宋体"/>
          <w:color w:val="000000"/>
          <w:szCs w:val="21"/>
          <w:highlight w:val="none"/>
        </w:rPr>
      </w:pPr>
    </w:p>
    <w:p w14:paraId="67EC781B">
      <w:pPr>
        <w:spacing w:before="312" w:beforeLines="100" w:after="156" w:afterLines="50"/>
        <w:jc w:val="center"/>
        <w:outlineLvl w:val="0"/>
        <w:rPr>
          <w:rFonts w:hint="eastAsia" w:ascii="宋体" w:hAnsi="宋体"/>
          <w:color w:val="000000"/>
          <w:szCs w:val="21"/>
          <w:highlight w:val="none"/>
        </w:rPr>
      </w:pPr>
    </w:p>
    <w:p w14:paraId="6952E9F1">
      <w:pPr>
        <w:spacing w:before="312" w:beforeLines="100" w:after="156" w:afterLines="50"/>
        <w:jc w:val="center"/>
        <w:outlineLvl w:val="0"/>
        <w:rPr>
          <w:rFonts w:hint="eastAsia" w:ascii="宋体" w:hAnsi="宋体"/>
          <w:color w:val="000000"/>
          <w:szCs w:val="21"/>
          <w:highlight w:val="none"/>
        </w:rPr>
      </w:pPr>
    </w:p>
    <w:p w14:paraId="2A626328">
      <w:pPr>
        <w:spacing w:before="312" w:beforeLines="100" w:after="156" w:afterLines="50"/>
        <w:jc w:val="center"/>
        <w:outlineLvl w:val="0"/>
        <w:rPr>
          <w:rFonts w:hint="eastAsia" w:ascii="宋体" w:hAnsi="宋体"/>
          <w:color w:val="000000"/>
          <w:szCs w:val="21"/>
          <w:highlight w:val="none"/>
        </w:rPr>
      </w:pPr>
    </w:p>
    <w:p w14:paraId="48E617A4">
      <w:pPr>
        <w:spacing w:before="312" w:beforeLines="100" w:after="156" w:afterLines="50"/>
        <w:jc w:val="center"/>
        <w:outlineLvl w:val="0"/>
        <w:rPr>
          <w:rFonts w:hint="eastAsia" w:ascii="宋体" w:hAnsi="宋体"/>
          <w:color w:val="000000"/>
          <w:szCs w:val="21"/>
          <w:highlight w:val="none"/>
        </w:rPr>
      </w:pPr>
    </w:p>
    <w:p w14:paraId="4B196C9B">
      <w:pPr>
        <w:spacing w:before="312" w:beforeLines="100" w:after="156" w:afterLines="50"/>
        <w:jc w:val="center"/>
        <w:outlineLvl w:val="0"/>
        <w:rPr>
          <w:rFonts w:hint="eastAsia" w:ascii="宋体" w:hAnsi="宋体"/>
          <w:color w:val="000000"/>
          <w:szCs w:val="21"/>
          <w:highlight w:val="none"/>
        </w:rPr>
      </w:pPr>
    </w:p>
    <w:p w14:paraId="79FDFB06">
      <w:pPr>
        <w:spacing w:before="312" w:beforeLines="100" w:after="156" w:afterLines="50"/>
        <w:jc w:val="center"/>
        <w:outlineLvl w:val="0"/>
        <w:rPr>
          <w:rFonts w:hint="eastAsia" w:ascii="宋体" w:hAnsi="宋体"/>
          <w:color w:val="000000"/>
          <w:szCs w:val="21"/>
          <w:highlight w:val="none"/>
        </w:rPr>
      </w:pPr>
    </w:p>
    <w:p w14:paraId="5EE4C55B">
      <w:pPr>
        <w:spacing w:before="312" w:beforeLines="100" w:after="156" w:afterLines="50"/>
        <w:jc w:val="center"/>
        <w:outlineLvl w:val="0"/>
        <w:rPr>
          <w:rFonts w:hint="eastAsia" w:ascii="宋体" w:hAnsi="宋体"/>
          <w:color w:val="000000"/>
          <w:szCs w:val="21"/>
          <w:highlight w:val="none"/>
        </w:rPr>
      </w:pPr>
    </w:p>
    <w:p w14:paraId="573E1011">
      <w:pPr>
        <w:spacing w:before="312" w:beforeLines="100" w:after="156" w:afterLines="50"/>
        <w:jc w:val="center"/>
        <w:outlineLvl w:val="0"/>
        <w:rPr>
          <w:rFonts w:hint="eastAsia" w:ascii="宋体" w:hAnsi="宋体"/>
          <w:color w:val="000000"/>
          <w:szCs w:val="21"/>
          <w:highlight w:val="none"/>
        </w:rPr>
      </w:pPr>
    </w:p>
    <w:p w14:paraId="7CE6D883">
      <w:pPr>
        <w:spacing w:before="312" w:beforeLines="100" w:after="156" w:afterLines="50"/>
        <w:jc w:val="center"/>
        <w:outlineLvl w:val="0"/>
        <w:rPr>
          <w:rFonts w:hint="eastAsia" w:ascii="宋体" w:hAnsi="宋体"/>
          <w:color w:val="000000"/>
          <w:szCs w:val="21"/>
          <w:highlight w:val="none"/>
        </w:rPr>
      </w:pPr>
    </w:p>
    <w:p w14:paraId="55493967">
      <w:pPr>
        <w:spacing w:before="312" w:beforeLines="100" w:after="156" w:afterLines="50"/>
        <w:jc w:val="center"/>
        <w:outlineLvl w:val="0"/>
        <w:rPr>
          <w:rFonts w:hint="eastAsia" w:ascii="宋体" w:hAnsi="宋体"/>
          <w:color w:val="000000"/>
          <w:szCs w:val="21"/>
          <w:highlight w:val="none"/>
        </w:rPr>
      </w:pPr>
    </w:p>
    <w:p w14:paraId="74E42994">
      <w:pPr>
        <w:spacing w:before="312" w:beforeLines="100" w:after="156" w:afterLines="50"/>
        <w:jc w:val="center"/>
        <w:outlineLvl w:val="0"/>
        <w:rPr>
          <w:rFonts w:hint="eastAsia" w:ascii="宋体" w:hAnsi="宋体"/>
          <w:color w:val="000000"/>
          <w:szCs w:val="21"/>
          <w:highlight w:val="none"/>
        </w:rPr>
      </w:pPr>
    </w:p>
    <w:p w14:paraId="309EB165">
      <w:pPr>
        <w:spacing w:before="312" w:beforeLines="100" w:after="156" w:afterLines="50"/>
        <w:jc w:val="center"/>
        <w:outlineLvl w:val="0"/>
        <w:rPr>
          <w:rFonts w:hint="eastAsia" w:ascii="宋体" w:hAnsi="宋体"/>
          <w:color w:val="000000"/>
          <w:szCs w:val="21"/>
          <w:highlight w:val="none"/>
        </w:rPr>
      </w:pPr>
    </w:p>
    <w:p w14:paraId="7F4B1888">
      <w:pPr>
        <w:spacing w:before="312" w:beforeLines="100" w:after="156" w:afterLines="50"/>
        <w:jc w:val="center"/>
        <w:outlineLvl w:val="0"/>
        <w:rPr>
          <w:rFonts w:hint="eastAsia" w:ascii="宋体" w:hAnsi="宋体"/>
          <w:color w:val="000000"/>
          <w:szCs w:val="21"/>
          <w:highlight w:val="none"/>
        </w:rPr>
      </w:pPr>
    </w:p>
    <w:p w14:paraId="56192CC6">
      <w:pPr>
        <w:spacing w:before="312" w:beforeLines="100" w:after="156" w:afterLines="50"/>
        <w:jc w:val="center"/>
        <w:outlineLvl w:val="0"/>
        <w:rPr>
          <w:rFonts w:hint="eastAsia" w:ascii="宋体" w:hAnsi="宋体"/>
          <w:color w:val="000000"/>
          <w:szCs w:val="21"/>
          <w:highlight w:val="none"/>
        </w:rPr>
      </w:pPr>
    </w:p>
    <w:p w14:paraId="138BF5CE">
      <w:pPr>
        <w:spacing w:line="500" w:lineRule="exact"/>
        <w:rPr>
          <w:rFonts w:hint="eastAsia" w:ascii="宋体" w:hAnsi="宋体"/>
          <w:color w:val="000000"/>
          <w:szCs w:val="21"/>
          <w:highlight w:val="none"/>
        </w:rPr>
      </w:pPr>
    </w:p>
    <w:p w14:paraId="4F6F9595">
      <w:pPr>
        <w:spacing w:before="312" w:beforeLines="100" w:after="156" w:afterLines="50"/>
        <w:outlineLvl w:val="0"/>
        <w:rPr>
          <w:rFonts w:hint="eastAsia" w:ascii="宋体" w:hAnsi="宋体"/>
          <w:color w:val="000000"/>
          <w:szCs w:val="21"/>
          <w:highlight w:val="none"/>
        </w:rPr>
      </w:pPr>
    </w:p>
    <w:p w14:paraId="194825B7">
      <w:pPr>
        <w:spacing w:before="312" w:beforeLines="100" w:after="156" w:afterLines="50"/>
        <w:jc w:val="center"/>
        <w:outlineLvl w:val="0"/>
        <w:rPr>
          <w:rFonts w:hint="eastAsia" w:ascii="宋体" w:hAnsi="宋体"/>
          <w:color w:val="000000"/>
          <w:szCs w:val="21"/>
          <w:highlight w:val="none"/>
        </w:rPr>
      </w:pPr>
    </w:p>
    <w:p w14:paraId="767223A8">
      <w:pPr>
        <w:spacing w:before="312" w:beforeLines="100" w:after="156" w:afterLines="50"/>
        <w:jc w:val="center"/>
        <w:outlineLvl w:val="0"/>
        <w:rPr>
          <w:rFonts w:hint="eastAsia" w:ascii="宋体" w:hAnsi="宋体"/>
          <w:color w:val="000000"/>
          <w:szCs w:val="21"/>
          <w:highlight w:val="none"/>
        </w:rPr>
      </w:pPr>
    </w:p>
    <w:p w14:paraId="2C68741F">
      <w:pPr>
        <w:spacing w:before="312" w:beforeLines="100" w:after="156" w:afterLines="50"/>
        <w:jc w:val="center"/>
        <w:outlineLvl w:val="0"/>
        <w:rPr>
          <w:rFonts w:hint="eastAsia" w:ascii="宋体" w:hAnsi="宋体"/>
          <w:color w:val="000000"/>
          <w:szCs w:val="21"/>
          <w:highlight w:val="none"/>
        </w:rPr>
      </w:pPr>
    </w:p>
    <w:p w14:paraId="31EC7902">
      <w:pPr>
        <w:spacing w:after="120"/>
        <w:ind w:firstLine="210" w:firstLineChars="100"/>
        <w:rPr>
          <w:color w:val="000000"/>
          <w:highlight w:val="none"/>
        </w:rPr>
      </w:pPr>
    </w:p>
    <w:p w14:paraId="05B3E249">
      <w:pPr>
        <w:spacing w:before="312" w:beforeLines="100" w:after="156" w:afterLines="50" w:line="440" w:lineRule="exact"/>
        <w:jc w:val="center"/>
        <w:outlineLvl w:val="0"/>
        <w:rPr>
          <w:rFonts w:ascii="黑体" w:hAnsi="宋体" w:eastAsia="黑体"/>
          <w:color w:val="000000"/>
          <w:sz w:val="28"/>
          <w:szCs w:val="28"/>
          <w:highlight w:val="none"/>
        </w:rPr>
      </w:pPr>
      <w:bookmarkStart w:id="927" w:name="_Toc149833961"/>
      <w:bookmarkStart w:id="928" w:name="_Toc155799782"/>
      <w:r>
        <w:rPr>
          <w:rFonts w:hint="eastAsia" w:ascii="黑体" w:hAnsi="宋体" w:eastAsia="黑体"/>
          <w:color w:val="000000"/>
          <w:sz w:val="28"/>
          <w:szCs w:val="28"/>
          <w:highlight w:val="none"/>
        </w:rPr>
        <w:t>六、资格审查资料</w:t>
      </w:r>
      <w:bookmarkEnd w:id="927"/>
      <w:bookmarkEnd w:id="928"/>
    </w:p>
    <w:p w14:paraId="2112B6D8">
      <w:pPr>
        <w:spacing w:before="156" w:beforeLines="50" w:after="312" w:afterLines="100" w:line="440" w:lineRule="exact"/>
        <w:jc w:val="center"/>
        <w:outlineLvl w:val="0"/>
        <w:rPr>
          <w:rFonts w:hint="eastAsia" w:ascii="黑体" w:hAnsi="宋体" w:eastAsia="黑体"/>
          <w:color w:val="000000"/>
          <w:sz w:val="24"/>
          <w:highlight w:val="none"/>
        </w:rPr>
      </w:pPr>
      <w:bookmarkStart w:id="929" w:name="_Toc155799783"/>
      <w:bookmarkStart w:id="930" w:name="_Toc419984923"/>
      <w:bookmarkStart w:id="931" w:name="_Toc149833962"/>
      <w:r>
        <w:rPr>
          <w:rFonts w:hint="eastAsia" w:ascii="黑体" w:hAnsi="宋体" w:eastAsia="黑体"/>
          <w:color w:val="000000"/>
          <w:sz w:val="24"/>
          <w:highlight w:val="none"/>
        </w:rPr>
        <w:t>（一）投标人基本情况表</w:t>
      </w:r>
      <w:bookmarkEnd w:id="929"/>
      <w:bookmarkEnd w:id="930"/>
      <w:bookmarkEnd w:id="93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DCB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54E22F7">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投标人名称</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14:paraId="50A35442">
            <w:pPr>
              <w:tabs>
                <w:tab w:val="center" w:pos="4153"/>
                <w:tab w:val="right" w:pos="8306"/>
              </w:tabs>
              <w:snapToGrid w:val="0"/>
              <w:jc w:val="center"/>
              <w:rPr>
                <w:rFonts w:ascii="宋体" w:hAnsi="宋体"/>
                <w:color w:val="000000"/>
                <w:sz w:val="18"/>
                <w:szCs w:val="21"/>
                <w:highlight w:val="none"/>
              </w:rPr>
            </w:pPr>
          </w:p>
        </w:tc>
      </w:tr>
      <w:tr w14:paraId="795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78B48DE">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注册地址</w:t>
            </w:r>
          </w:p>
        </w:tc>
        <w:tc>
          <w:tcPr>
            <w:tcW w:w="3389" w:type="dxa"/>
            <w:gridSpan w:val="5"/>
            <w:tcBorders>
              <w:top w:val="single" w:color="auto" w:sz="4" w:space="0"/>
              <w:left w:val="single" w:color="auto" w:sz="4" w:space="0"/>
              <w:bottom w:val="single" w:color="auto" w:sz="4" w:space="0"/>
              <w:right w:val="single" w:color="auto" w:sz="4" w:space="0"/>
            </w:tcBorders>
            <w:noWrap w:val="0"/>
            <w:vAlign w:val="center"/>
          </w:tcPr>
          <w:p w14:paraId="6BBBE3AA">
            <w:pPr>
              <w:tabs>
                <w:tab w:val="center" w:pos="4153"/>
                <w:tab w:val="right" w:pos="8306"/>
              </w:tabs>
              <w:snapToGrid w:val="0"/>
              <w:jc w:val="center"/>
              <w:rPr>
                <w:rFonts w:ascii="宋体" w:hAnsi="宋体"/>
                <w:color w:val="000000"/>
                <w:sz w:val="18"/>
                <w:szCs w:val="21"/>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257D480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邮政编码</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74FA863D">
            <w:pPr>
              <w:tabs>
                <w:tab w:val="center" w:pos="4153"/>
                <w:tab w:val="right" w:pos="8306"/>
              </w:tabs>
              <w:snapToGrid w:val="0"/>
              <w:jc w:val="center"/>
              <w:rPr>
                <w:rFonts w:ascii="宋体" w:hAnsi="宋体"/>
                <w:color w:val="000000"/>
                <w:sz w:val="18"/>
                <w:szCs w:val="21"/>
                <w:highlight w:val="none"/>
              </w:rPr>
            </w:pPr>
          </w:p>
        </w:tc>
      </w:tr>
      <w:tr w14:paraId="41DB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14:paraId="4479DB7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4CCFCCA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联系人</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14:paraId="7CC5231C">
            <w:pPr>
              <w:tabs>
                <w:tab w:val="center" w:pos="4153"/>
                <w:tab w:val="right" w:pos="8306"/>
              </w:tabs>
              <w:snapToGrid w:val="0"/>
              <w:jc w:val="center"/>
              <w:rPr>
                <w:rFonts w:ascii="宋体" w:hAnsi="宋体"/>
                <w:color w:val="000000"/>
                <w:sz w:val="18"/>
                <w:szCs w:val="21"/>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E6F2F52">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电  话</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72C6B59A">
            <w:pPr>
              <w:tabs>
                <w:tab w:val="center" w:pos="4153"/>
                <w:tab w:val="right" w:pos="8306"/>
              </w:tabs>
              <w:snapToGrid w:val="0"/>
              <w:jc w:val="center"/>
              <w:rPr>
                <w:rFonts w:ascii="宋体" w:hAnsi="宋体"/>
                <w:color w:val="000000"/>
                <w:sz w:val="18"/>
                <w:szCs w:val="21"/>
                <w:highlight w:val="none"/>
              </w:rPr>
            </w:pPr>
          </w:p>
        </w:tc>
      </w:tr>
      <w:tr w14:paraId="7C64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4AF02E2">
            <w:pPr>
              <w:widowControl/>
              <w:jc w:val="left"/>
              <w:rPr>
                <w:rFonts w:ascii="宋体" w:hAnsi="宋体"/>
                <w:color w:val="000000"/>
                <w:sz w:val="18"/>
                <w:szCs w:val="21"/>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2689560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传  真</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14:paraId="34AED6A2">
            <w:pPr>
              <w:tabs>
                <w:tab w:val="center" w:pos="4153"/>
                <w:tab w:val="right" w:pos="8306"/>
              </w:tabs>
              <w:snapToGrid w:val="0"/>
              <w:jc w:val="center"/>
              <w:rPr>
                <w:rFonts w:ascii="宋体" w:hAnsi="宋体"/>
                <w:color w:val="000000"/>
                <w:sz w:val="18"/>
                <w:szCs w:val="21"/>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0790291">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网  址</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2A7F6F5A">
            <w:pPr>
              <w:tabs>
                <w:tab w:val="center" w:pos="4153"/>
                <w:tab w:val="right" w:pos="8306"/>
              </w:tabs>
              <w:snapToGrid w:val="0"/>
              <w:jc w:val="center"/>
              <w:rPr>
                <w:rFonts w:ascii="宋体" w:hAnsi="宋体"/>
                <w:color w:val="000000"/>
                <w:sz w:val="18"/>
                <w:szCs w:val="21"/>
                <w:highlight w:val="none"/>
              </w:rPr>
            </w:pPr>
          </w:p>
        </w:tc>
      </w:tr>
      <w:tr w14:paraId="1EA9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A6B59F">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组织结构</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14:paraId="3760D741">
            <w:pPr>
              <w:tabs>
                <w:tab w:val="center" w:pos="4153"/>
                <w:tab w:val="right" w:pos="8306"/>
              </w:tabs>
              <w:snapToGrid w:val="0"/>
              <w:jc w:val="center"/>
              <w:rPr>
                <w:rFonts w:ascii="宋体" w:hAnsi="宋体"/>
                <w:color w:val="000000"/>
                <w:sz w:val="18"/>
                <w:szCs w:val="21"/>
                <w:highlight w:val="none"/>
              </w:rPr>
            </w:pPr>
          </w:p>
        </w:tc>
      </w:tr>
      <w:tr w14:paraId="4523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61DD4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09C32179">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98ABF99">
            <w:pPr>
              <w:tabs>
                <w:tab w:val="center" w:pos="4153"/>
                <w:tab w:val="right" w:pos="8306"/>
              </w:tabs>
              <w:snapToGrid w:val="0"/>
              <w:jc w:val="center"/>
              <w:rPr>
                <w:rFonts w:ascii="宋体" w:hAnsi="宋体"/>
                <w:color w:val="000000"/>
                <w:sz w:val="18"/>
                <w:szCs w:val="21"/>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6D00F21C">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65E667A2">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E5FF0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CC22F14">
            <w:pPr>
              <w:tabs>
                <w:tab w:val="center" w:pos="4153"/>
                <w:tab w:val="right" w:pos="8306"/>
              </w:tabs>
              <w:snapToGrid w:val="0"/>
              <w:jc w:val="center"/>
              <w:rPr>
                <w:rFonts w:ascii="宋体" w:hAnsi="宋体"/>
                <w:color w:val="000000"/>
                <w:sz w:val="18"/>
                <w:szCs w:val="21"/>
                <w:highlight w:val="none"/>
              </w:rPr>
            </w:pPr>
          </w:p>
        </w:tc>
      </w:tr>
      <w:tr w14:paraId="0746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16DCFA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07684EC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9E58A2C">
            <w:pPr>
              <w:tabs>
                <w:tab w:val="center" w:pos="4153"/>
                <w:tab w:val="right" w:pos="8306"/>
              </w:tabs>
              <w:snapToGrid w:val="0"/>
              <w:jc w:val="center"/>
              <w:rPr>
                <w:rFonts w:ascii="宋体" w:hAnsi="宋体"/>
                <w:color w:val="000000"/>
                <w:sz w:val="18"/>
                <w:szCs w:val="21"/>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8F5936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1A4F850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148A24">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B60656E">
            <w:pPr>
              <w:tabs>
                <w:tab w:val="center" w:pos="4153"/>
                <w:tab w:val="right" w:pos="8306"/>
              </w:tabs>
              <w:snapToGrid w:val="0"/>
              <w:jc w:val="center"/>
              <w:rPr>
                <w:rFonts w:ascii="宋体" w:hAnsi="宋体"/>
                <w:color w:val="000000"/>
                <w:sz w:val="18"/>
                <w:szCs w:val="21"/>
                <w:highlight w:val="none"/>
              </w:rPr>
            </w:pPr>
          </w:p>
        </w:tc>
      </w:tr>
      <w:tr w14:paraId="70C6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71816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成立时间</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29227E6D">
            <w:pPr>
              <w:tabs>
                <w:tab w:val="center" w:pos="4153"/>
                <w:tab w:val="right" w:pos="8306"/>
              </w:tabs>
              <w:snapToGrid w:val="0"/>
              <w:jc w:val="center"/>
              <w:rPr>
                <w:rFonts w:ascii="宋体" w:hAnsi="宋体"/>
                <w:color w:val="000000"/>
                <w:sz w:val="18"/>
                <w:szCs w:val="21"/>
                <w:highlight w:val="none"/>
              </w:rPr>
            </w:pPr>
          </w:p>
        </w:tc>
        <w:tc>
          <w:tcPr>
            <w:tcW w:w="5102" w:type="dxa"/>
            <w:gridSpan w:val="7"/>
            <w:tcBorders>
              <w:top w:val="single" w:color="auto" w:sz="4" w:space="0"/>
              <w:left w:val="single" w:color="auto" w:sz="4" w:space="0"/>
              <w:bottom w:val="single" w:color="auto" w:sz="4" w:space="0"/>
              <w:right w:val="single" w:color="auto" w:sz="4" w:space="0"/>
            </w:tcBorders>
            <w:noWrap w:val="0"/>
            <w:vAlign w:val="center"/>
          </w:tcPr>
          <w:p w14:paraId="48B0B465">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员工总人数：</w:t>
            </w:r>
          </w:p>
        </w:tc>
      </w:tr>
      <w:tr w14:paraId="59CA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B724D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企业资质等级</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28DE016C">
            <w:pPr>
              <w:tabs>
                <w:tab w:val="center" w:pos="4153"/>
                <w:tab w:val="right" w:pos="8306"/>
              </w:tabs>
              <w:snapToGrid w:val="0"/>
              <w:jc w:val="center"/>
              <w:rPr>
                <w:rFonts w:ascii="宋体" w:hAnsi="宋体"/>
                <w:color w:val="000000"/>
                <w:sz w:val="18"/>
                <w:szCs w:val="21"/>
                <w:highlight w:val="none"/>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20C23A0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其中</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7A6C328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项目经理</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0E3FFC83">
            <w:pPr>
              <w:tabs>
                <w:tab w:val="center" w:pos="4153"/>
                <w:tab w:val="right" w:pos="8306"/>
              </w:tabs>
              <w:snapToGrid w:val="0"/>
              <w:jc w:val="center"/>
              <w:rPr>
                <w:rFonts w:ascii="宋体" w:hAnsi="宋体"/>
                <w:color w:val="000000"/>
                <w:sz w:val="18"/>
                <w:szCs w:val="21"/>
                <w:highlight w:val="none"/>
              </w:rPr>
            </w:pPr>
          </w:p>
        </w:tc>
      </w:tr>
      <w:tr w14:paraId="43A8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5DD22CC">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营业执照号</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488929A2">
            <w:pPr>
              <w:tabs>
                <w:tab w:val="center" w:pos="4153"/>
                <w:tab w:val="right" w:pos="8306"/>
              </w:tabs>
              <w:snapToGrid w:val="0"/>
              <w:jc w:val="center"/>
              <w:rPr>
                <w:rFonts w:ascii="宋体" w:hAnsi="宋体"/>
                <w:color w:val="000000"/>
                <w:sz w:val="18"/>
                <w:szCs w:val="21"/>
                <w:highlight w:val="none"/>
              </w:rPr>
            </w:pPr>
          </w:p>
        </w:tc>
        <w:tc>
          <w:tcPr>
            <w:tcW w:w="5102" w:type="dxa"/>
            <w:vMerge w:val="continue"/>
            <w:tcBorders>
              <w:top w:val="single" w:color="auto" w:sz="4" w:space="0"/>
              <w:left w:val="single" w:color="auto" w:sz="4" w:space="0"/>
              <w:bottom w:val="single" w:color="auto" w:sz="4" w:space="0"/>
              <w:right w:val="single" w:color="auto" w:sz="4" w:space="0"/>
            </w:tcBorders>
            <w:noWrap w:val="0"/>
            <w:vAlign w:val="center"/>
          </w:tcPr>
          <w:p w14:paraId="501F2E93">
            <w:pPr>
              <w:widowControl/>
              <w:jc w:val="left"/>
              <w:rPr>
                <w:rFonts w:ascii="宋体" w:hAnsi="宋体"/>
                <w:color w:val="000000"/>
                <w:sz w:val="18"/>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3C932E48">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高级职称人员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3A68A7D2">
            <w:pPr>
              <w:tabs>
                <w:tab w:val="center" w:pos="4153"/>
                <w:tab w:val="right" w:pos="8306"/>
              </w:tabs>
              <w:snapToGrid w:val="0"/>
              <w:jc w:val="center"/>
              <w:rPr>
                <w:rFonts w:ascii="宋体" w:hAnsi="宋体"/>
                <w:color w:val="000000"/>
                <w:sz w:val="18"/>
                <w:szCs w:val="21"/>
                <w:highlight w:val="none"/>
              </w:rPr>
            </w:pPr>
          </w:p>
        </w:tc>
      </w:tr>
      <w:tr w14:paraId="25A8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6E815D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注册资金</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4049E504">
            <w:pPr>
              <w:tabs>
                <w:tab w:val="center" w:pos="4153"/>
                <w:tab w:val="right" w:pos="8306"/>
              </w:tabs>
              <w:snapToGrid w:val="0"/>
              <w:jc w:val="center"/>
              <w:rPr>
                <w:rFonts w:ascii="宋体" w:hAnsi="宋体"/>
                <w:color w:val="000000"/>
                <w:sz w:val="18"/>
                <w:szCs w:val="21"/>
                <w:highlight w:val="none"/>
              </w:rPr>
            </w:pPr>
          </w:p>
        </w:tc>
        <w:tc>
          <w:tcPr>
            <w:tcW w:w="5102" w:type="dxa"/>
            <w:vMerge w:val="continue"/>
            <w:tcBorders>
              <w:top w:val="single" w:color="auto" w:sz="4" w:space="0"/>
              <w:left w:val="single" w:color="auto" w:sz="4" w:space="0"/>
              <w:bottom w:val="single" w:color="auto" w:sz="4" w:space="0"/>
              <w:right w:val="single" w:color="auto" w:sz="4" w:space="0"/>
            </w:tcBorders>
            <w:noWrap w:val="0"/>
            <w:vAlign w:val="center"/>
          </w:tcPr>
          <w:p w14:paraId="21946C12">
            <w:pPr>
              <w:widowControl/>
              <w:jc w:val="left"/>
              <w:rPr>
                <w:rFonts w:ascii="宋体" w:hAnsi="宋体"/>
                <w:color w:val="000000"/>
                <w:sz w:val="18"/>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6039E4F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中级职称人员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44FDB3DA">
            <w:pPr>
              <w:tabs>
                <w:tab w:val="center" w:pos="4153"/>
                <w:tab w:val="right" w:pos="8306"/>
              </w:tabs>
              <w:snapToGrid w:val="0"/>
              <w:jc w:val="center"/>
              <w:rPr>
                <w:rFonts w:ascii="宋体" w:hAnsi="宋体"/>
                <w:color w:val="000000"/>
                <w:sz w:val="18"/>
                <w:szCs w:val="21"/>
                <w:highlight w:val="none"/>
              </w:rPr>
            </w:pPr>
          </w:p>
        </w:tc>
      </w:tr>
      <w:tr w14:paraId="1CD2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47CDDE7">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开户银行</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4FF5F92D">
            <w:pPr>
              <w:tabs>
                <w:tab w:val="center" w:pos="4153"/>
                <w:tab w:val="right" w:pos="8306"/>
              </w:tabs>
              <w:snapToGrid w:val="0"/>
              <w:jc w:val="center"/>
              <w:rPr>
                <w:rFonts w:ascii="宋体" w:hAnsi="宋体"/>
                <w:color w:val="000000"/>
                <w:sz w:val="18"/>
                <w:szCs w:val="21"/>
                <w:highlight w:val="none"/>
              </w:rPr>
            </w:pPr>
          </w:p>
        </w:tc>
        <w:tc>
          <w:tcPr>
            <w:tcW w:w="5102" w:type="dxa"/>
            <w:vMerge w:val="continue"/>
            <w:tcBorders>
              <w:top w:val="single" w:color="auto" w:sz="4" w:space="0"/>
              <w:left w:val="single" w:color="auto" w:sz="4" w:space="0"/>
              <w:bottom w:val="single" w:color="auto" w:sz="4" w:space="0"/>
              <w:right w:val="single" w:color="auto" w:sz="4" w:space="0"/>
            </w:tcBorders>
            <w:noWrap w:val="0"/>
            <w:vAlign w:val="center"/>
          </w:tcPr>
          <w:p w14:paraId="1C55B530">
            <w:pPr>
              <w:widowControl/>
              <w:jc w:val="left"/>
              <w:rPr>
                <w:rFonts w:ascii="宋体" w:hAnsi="宋体"/>
                <w:color w:val="000000"/>
                <w:sz w:val="18"/>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7120070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初级职称人员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2B0210D1">
            <w:pPr>
              <w:tabs>
                <w:tab w:val="center" w:pos="4153"/>
                <w:tab w:val="right" w:pos="8306"/>
              </w:tabs>
              <w:snapToGrid w:val="0"/>
              <w:jc w:val="center"/>
              <w:rPr>
                <w:rFonts w:ascii="宋体" w:hAnsi="宋体"/>
                <w:color w:val="000000"/>
                <w:sz w:val="18"/>
                <w:szCs w:val="21"/>
                <w:highlight w:val="none"/>
              </w:rPr>
            </w:pPr>
          </w:p>
        </w:tc>
      </w:tr>
      <w:tr w14:paraId="644D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5A4D46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账号</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14:paraId="533A1EB9">
            <w:pPr>
              <w:tabs>
                <w:tab w:val="center" w:pos="4153"/>
                <w:tab w:val="right" w:pos="8306"/>
              </w:tabs>
              <w:snapToGrid w:val="0"/>
              <w:jc w:val="center"/>
              <w:rPr>
                <w:rFonts w:ascii="宋体" w:hAnsi="宋体"/>
                <w:color w:val="000000"/>
                <w:sz w:val="18"/>
                <w:szCs w:val="21"/>
                <w:highlight w:val="none"/>
              </w:rPr>
            </w:pPr>
          </w:p>
        </w:tc>
        <w:tc>
          <w:tcPr>
            <w:tcW w:w="5102" w:type="dxa"/>
            <w:vMerge w:val="continue"/>
            <w:tcBorders>
              <w:top w:val="single" w:color="auto" w:sz="4" w:space="0"/>
              <w:left w:val="single" w:color="auto" w:sz="4" w:space="0"/>
              <w:bottom w:val="single" w:color="auto" w:sz="4" w:space="0"/>
              <w:right w:val="single" w:color="auto" w:sz="4" w:space="0"/>
            </w:tcBorders>
            <w:noWrap w:val="0"/>
            <w:vAlign w:val="center"/>
          </w:tcPr>
          <w:p w14:paraId="1B211D2E">
            <w:pPr>
              <w:widowControl/>
              <w:jc w:val="left"/>
              <w:rPr>
                <w:rFonts w:ascii="宋体" w:hAnsi="宋体"/>
                <w:color w:val="000000"/>
                <w:sz w:val="18"/>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412654E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技  工</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7C24DA39">
            <w:pPr>
              <w:tabs>
                <w:tab w:val="center" w:pos="4153"/>
                <w:tab w:val="right" w:pos="8306"/>
              </w:tabs>
              <w:snapToGrid w:val="0"/>
              <w:jc w:val="center"/>
              <w:rPr>
                <w:rFonts w:ascii="宋体" w:hAnsi="宋体"/>
                <w:color w:val="000000"/>
                <w:sz w:val="18"/>
                <w:szCs w:val="21"/>
                <w:highlight w:val="none"/>
              </w:rPr>
            </w:pPr>
          </w:p>
        </w:tc>
      </w:tr>
      <w:tr w14:paraId="6425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8C79F6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经营范围</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14:paraId="44C8094B">
            <w:pPr>
              <w:tabs>
                <w:tab w:val="center" w:pos="4153"/>
                <w:tab w:val="right" w:pos="8306"/>
              </w:tabs>
              <w:snapToGrid w:val="0"/>
              <w:jc w:val="center"/>
              <w:rPr>
                <w:rFonts w:ascii="宋体" w:hAnsi="宋体"/>
                <w:color w:val="000000"/>
                <w:sz w:val="18"/>
                <w:szCs w:val="21"/>
                <w:highlight w:val="none"/>
              </w:rPr>
            </w:pPr>
          </w:p>
        </w:tc>
      </w:tr>
      <w:tr w14:paraId="467C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42170B7">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备注</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14:paraId="77DCC3BC">
            <w:pPr>
              <w:tabs>
                <w:tab w:val="center" w:pos="4153"/>
                <w:tab w:val="right" w:pos="8306"/>
              </w:tabs>
              <w:snapToGrid w:val="0"/>
              <w:jc w:val="center"/>
              <w:rPr>
                <w:rFonts w:ascii="宋体" w:hAnsi="宋体"/>
                <w:color w:val="000000"/>
                <w:sz w:val="18"/>
                <w:szCs w:val="21"/>
                <w:highlight w:val="none"/>
              </w:rPr>
            </w:pPr>
          </w:p>
        </w:tc>
      </w:tr>
    </w:tbl>
    <w:p w14:paraId="7836A343">
      <w:pPr>
        <w:spacing w:line="440" w:lineRule="exact"/>
        <w:rPr>
          <w:rFonts w:hint="eastAsia" w:ascii="宋体" w:hAnsi="宋体"/>
          <w:color w:val="000000"/>
          <w:szCs w:val="21"/>
          <w:highlight w:val="none"/>
        </w:rPr>
      </w:pPr>
    </w:p>
    <w:p w14:paraId="152E7080">
      <w:pPr>
        <w:spacing w:line="440" w:lineRule="exact"/>
        <w:rPr>
          <w:rFonts w:hint="eastAsia" w:ascii="宋体" w:hAnsi="宋体"/>
          <w:color w:val="000000"/>
          <w:szCs w:val="21"/>
          <w:highlight w:val="none"/>
        </w:rPr>
      </w:pPr>
    </w:p>
    <w:p w14:paraId="4766B52E">
      <w:pPr>
        <w:spacing w:after="120"/>
        <w:ind w:firstLine="210" w:firstLineChars="100"/>
        <w:rPr>
          <w:rFonts w:hint="eastAsia"/>
          <w:color w:val="000000"/>
          <w:highlight w:val="none"/>
        </w:rPr>
      </w:pPr>
    </w:p>
    <w:p w14:paraId="6E9F259C">
      <w:pPr>
        <w:spacing w:after="120"/>
        <w:ind w:firstLine="210" w:firstLineChars="100"/>
        <w:rPr>
          <w:color w:val="000000"/>
          <w:highlight w:val="none"/>
        </w:rPr>
      </w:pPr>
    </w:p>
    <w:p w14:paraId="345DD3F1">
      <w:pPr>
        <w:spacing w:before="156" w:beforeLines="50" w:after="312" w:afterLines="100" w:line="440" w:lineRule="exact"/>
        <w:jc w:val="center"/>
        <w:outlineLvl w:val="0"/>
        <w:rPr>
          <w:rFonts w:ascii="黑体" w:hAnsi="宋体" w:eastAsia="黑体"/>
          <w:color w:val="000000"/>
          <w:sz w:val="24"/>
          <w:highlight w:val="none"/>
        </w:rPr>
      </w:pPr>
      <w:bookmarkStart w:id="932" w:name="_Toc149833963"/>
      <w:bookmarkStart w:id="933" w:name="_Toc155799784"/>
      <w:r>
        <w:rPr>
          <w:rFonts w:hint="eastAsia" w:ascii="黑体" w:hAnsi="宋体" w:eastAsia="黑体"/>
          <w:color w:val="000000"/>
          <w:sz w:val="24"/>
          <w:highlight w:val="none"/>
        </w:rPr>
        <w:t>（二）资格审查材料</w:t>
      </w:r>
      <w:bookmarkEnd w:id="932"/>
      <w:bookmarkEnd w:id="933"/>
    </w:p>
    <w:p w14:paraId="1D485761">
      <w:pPr>
        <w:spacing w:after="120"/>
        <w:ind w:firstLine="210" w:firstLineChars="100"/>
        <w:rPr>
          <w:rFonts w:hint="eastAsia"/>
          <w:color w:val="000000"/>
          <w:highlight w:val="none"/>
        </w:rPr>
      </w:pPr>
    </w:p>
    <w:p w14:paraId="6C0B19F8">
      <w:pPr>
        <w:spacing w:after="120"/>
        <w:ind w:firstLine="210" w:firstLineChars="100"/>
        <w:rPr>
          <w:color w:val="000000"/>
          <w:highlight w:val="none"/>
        </w:rPr>
      </w:pPr>
    </w:p>
    <w:p w14:paraId="61122679">
      <w:pPr>
        <w:spacing w:after="120"/>
        <w:ind w:firstLine="210" w:firstLineChars="100"/>
        <w:rPr>
          <w:color w:val="000000"/>
          <w:highlight w:val="none"/>
        </w:rPr>
      </w:pPr>
    </w:p>
    <w:p w14:paraId="7E516CBA">
      <w:pPr>
        <w:spacing w:after="120"/>
        <w:ind w:firstLine="210" w:firstLineChars="100"/>
        <w:rPr>
          <w:color w:val="000000"/>
          <w:highlight w:val="none"/>
        </w:rPr>
      </w:pPr>
    </w:p>
    <w:p w14:paraId="6BE5B9DF">
      <w:pPr>
        <w:spacing w:after="120"/>
        <w:ind w:firstLine="210" w:firstLineChars="100"/>
        <w:rPr>
          <w:color w:val="000000"/>
          <w:highlight w:val="none"/>
        </w:rPr>
      </w:pPr>
    </w:p>
    <w:p w14:paraId="166E75DD">
      <w:pPr>
        <w:spacing w:after="120"/>
        <w:ind w:firstLine="210" w:firstLineChars="100"/>
        <w:rPr>
          <w:color w:val="000000"/>
          <w:highlight w:val="none"/>
        </w:rPr>
      </w:pPr>
    </w:p>
    <w:p w14:paraId="3F25175E">
      <w:pPr>
        <w:spacing w:after="120"/>
        <w:ind w:firstLine="210" w:firstLineChars="100"/>
        <w:rPr>
          <w:color w:val="000000"/>
          <w:highlight w:val="none"/>
        </w:rPr>
      </w:pPr>
    </w:p>
    <w:p w14:paraId="5F6DCFB1">
      <w:pPr>
        <w:spacing w:after="120"/>
        <w:ind w:firstLine="210" w:firstLineChars="100"/>
        <w:rPr>
          <w:color w:val="000000"/>
          <w:highlight w:val="none"/>
        </w:rPr>
      </w:pPr>
    </w:p>
    <w:p w14:paraId="44067170">
      <w:pPr>
        <w:spacing w:after="120"/>
        <w:ind w:firstLine="210" w:firstLineChars="100"/>
        <w:rPr>
          <w:color w:val="000000"/>
          <w:highlight w:val="none"/>
        </w:rPr>
      </w:pPr>
    </w:p>
    <w:p w14:paraId="4B862B4A">
      <w:pPr>
        <w:spacing w:after="120"/>
        <w:ind w:firstLine="210" w:firstLineChars="100"/>
        <w:rPr>
          <w:color w:val="000000"/>
          <w:highlight w:val="none"/>
        </w:rPr>
      </w:pPr>
    </w:p>
    <w:p w14:paraId="037A9DE5">
      <w:pPr>
        <w:spacing w:after="120"/>
        <w:ind w:firstLine="210" w:firstLineChars="100"/>
        <w:rPr>
          <w:color w:val="000000"/>
          <w:highlight w:val="none"/>
        </w:rPr>
      </w:pPr>
    </w:p>
    <w:p w14:paraId="4C3F0AB9">
      <w:pPr>
        <w:spacing w:after="120"/>
        <w:ind w:firstLine="210" w:firstLineChars="100"/>
        <w:rPr>
          <w:color w:val="000000"/>
          <w:highlight w:val="none"/>
        </w:rPr>
      </w:pPr>
    </w:p>
    <w:p w14:paraId="07559FC0">
      <w:pPr>
        <w:spacing w:after="120"/>
        <w:ind w:firstLine="210" w:firstLineChars="100"/>
        <w:rPr>
          <w:color w:val="000000"/>
          <w:highlight w:val="none"/>
        </w:rPr>
      </w:pPr>
    </w:p>
    <w:p w14:paraId="7933D923">
      <w:pPr>
        <w:spacing w:after="120"/>
        <w:ind w:firstLine="210" w:firstLineChars="100"/>
        <w:rPr>
          <w:color w:val="000000"/>
          <w:highlight w:val="none"/>
        </w:rPr>
      </w:pPr>
    </w:p>
    <w:p w14:paraId="3F9E5C63">
      <w:pPr>
        <w:spacing w:after="120"/>
        <w:ind w:firstLine="210" w:firstLineChars="100"/>
        <w:rPr>
          <w:color w:val="000000"/>
          <w:highlight w:val="none"/>
        </w:rPr>
      </w:pPr>
    </w:p>
    <w:p w14:paraId="52BEEFD0">
      <w:pPr>
        <w:spacing w:after="120"/>
        <w:ind w:firstLine="210" w:firstLineChars="100"/>
        <w:rPr>
          <w:color w:val="000000"/>
          <w:highlight w:val="none"/>
        </w:rPr>
      </w:pPr>
    </w:p>
    <w:p w14:paraId="4924E89A">
      <w:pPr>
        <w:spacing w:after="120"/>
        <w:ind w:firstLine="210" w:firstLineChars="100"/>
        <w:rPr>
          <w:color w:val="000000"/>
          <w:highlight w:val="none"/>
        </w:rPr>
      </w:pPr>
    </w:p>
    <w:p w14:paraId="259100B7">
      <w:pPr>
        <w:spacing w:after="120"/>
        <w:ind w:firstLine="210" w:firstLineChars="100"/>
        <w:rPr>
          <w:color w:val="000000"/>
          <w:highlight w:val="none"/>
        </w:rPr>
      </w:pPr>
    </w:p>
    <w:p w14:paraId="7DF68E22">
      <w:pPr>
        <w:spacing w:after="120"/>
        <w:ind w:firstLine="210" w:firstLineChars="100"/>
        <w:rPr>
          <w:color w:val="000000"/>
          <w:highlight w:val="none"/>
        </w:rPr>
      </w:pPr>
    </w:p>
    <w:p w14:paraId="1E4C8836">
      <w:pPr>
        <w:spacing w:after="120"/>
        <w:ind w:firstLine="210" w:firstLineChars="100"/>
        <w:rPr>
          <w:color w:val="000000"/>
          <w:highlight w:val="none"/>
        </w:rPr>
      </w:pPr>
    </w:p>
    <w:p w14:paraId="55BC8CA2">
      <w:pPr>
        <w:spacing w:after="120"/>
        <w:ind w:firstLine="210" w:firstLineChars="100"/>
        <w:rPr>
          <w:color w:val="000000"/>
          <w:highlight w:val="none"/>
        </w:rPr>
      </w:pPr>
    </w:p>
    <w:p w14:paraId="7B9324C3">
      <w:pPr>
        <w:spacing w:after="120"/>
        <w:ind w:firstLine="210" w:firstLineChars="100"/>
        <w:rPr>
          <w:color w:val="000000"/>
          <w:highlight w:val="none"/>
        </w:rPr>
      </w:pPr>
    </w:p>
    <w:p w14:paraId="3F64625E">
      <w:pPr>
        <w:spacing w:after="120"/>
        <w:ind w:firstLine="210" w:firstLineChars="100"/>
        <w:rPr>
          <w:color w:val="000000"/>
          <w:highlight w:val="none"/>
        </w:rPr>
      </w:pPr>
    </w:p>
    <w:p w14:paraId="57692EF7">
      <w:pPr>
        <w:spacing w:after="120"/>
        <w:ind w:firstLine="210" w:firstLineChars="100"/>
        <w:rPr>
          <w:color w:val="000000"/>
          <w:highlight w:val="none"/>
        </w:rPr>
      </w:pPr>
    </w:p>
    <w:p w14:paraId="0A7F49DF">
      <w:pPr>
        <w:spacing w:after="120"/>
        <w:ind w:firstLine="210" w:firstLineChars="100"/>
        <w:rPr>
          <w:color w:val="000000"/>
          <w:highlight w:val="none"/>
        </w:rPr>
      </w:pPr>
    </w:p>
    <w:p w14:paraId="36458EBB">
      <w:pPr>
        <w:spacing w:after="120"/>
        <w:ind w:firstLine="210" w:firstLineChars="100"/>
        <w:rPr>
          <w:color w:val="000000"/>
          <w:highlight w:val="none"/>
        </w:rPr>
      </w:pPr>
    </w:p>
    <w:p w14:paraId="0DA2AFA3">
      <w:pPr>
        <w:spacing w:after="120"/>
        <w:ind w:firstLine="210" w:firstLineChars="100"/>
        <w:rPr>
          <w:color w:val="000000"/>
          <w:highlight w:val="none"/>
        </w:rPr>
      </w:pPr>
    </w:p>
    <w:p w14:paraId="44730C08">
      <w:pPr>
        <w:spacing w:after="120"/>
        <w:ind w:firstLine="210" w:firstLineChars="100"/>
        <w:rPr>
          <w:rFonts w:hint="eastAsia"/>
          <w:color w:val="000000"/>
          <w:highlight w:val="none"/>
        </w:rPr>
      </w:pPr>
    </w:p>
    <w:p w14:paraId="5A6F0CDF">
      <w:pPr>
        <w:spacing w:after="120"/>
        <w:ind w:firstLine="210" w:firstLineChars="100"/>
        <w:rPr>
          <w:color w:val="000000"/>
          <w:highlight w:val="none"/>
        </w:rPr>
      </w:pPr>
    </w:p>
    <w:p w14:paraId="3D2E6172">
      <w:pPr>
        <w:spacing w:after="120"/>
        <w:ind w:firstLine="210" w:firstLineChars="100"/>
        <w:rPr>
          <w:color w:val="000000"/>
          <w:highlight w:val="none"/>
        </w:rPr>
      </w:pPr>
    </w:p>
    <w:p w14:paraId="2634928F">
      <w:pPr>
        <w:spacing w:before="156" w:beforeLines="50" w:after="156" w:afterLines="50" w:line="420" w:lineRule="exact"/>
        <w:jc w:val="center"/>
        <w:outlineLvl w:val="0"/>
        <w:rPr>
          <w:rFonts w:ascii="黑体" w:hAnsi="宋体" w:eastAsia="黑体"/>
          <w:color w:val="000000"/>
          <w:sz w:val="28"/>
          <w:szCs w:val="28"/>
          <w:highlight w:val="none"/>
        </w:rPr>
      </w:pPr>
      <w:bookmarkStart w:id="934" w:name="_Toc149833966"/>
      <w:bookmarkStart w:id="935" w:name="_Toc155799787"/>
      <w:r>
        <w:rPr>
          <w:rFonts w:hint="eastAsia" w:ascii="黑体" w:hAnsi="宋体" w:eastAsia="黑体"/>
          <w:color w:val="000000"/>
          <w:sz w:val="28"/>
          <w:szCs w:val="28"/>
          <w:highlight w:val="none"/>
        </w:rPr>
        <w:t>七、项目管理机构</w:t>
      </w:r>
      <w:bookmarkEnd w:id="934"/>
      <w:bookmarkEnd w:id="935"/>
    </w:p>
    <w:p w14:paraId="65057AAA">
      <w:pPr>
        <w:spacing w:after="312" w:afterLines="100" w:line="420" w:lineRule="exact"/>
        <w:outlineLvl w:val="0"/>
        <w:rPr>
          <w:rFonts w:hint="eastAsia" w:ascii="黑体" w:hAnsi="宋体" w:eastAsia="黑体"/>
          <w:color w:val="000000"/>
          <w:sz w:val="24"/>
          <w:highlight w:val="none"/>
        </w:rPr>
      </w:pPr>
      <w:bookmarkStart w:id="936" w:name="_Toc149833967"/>
      <w:bookmarkStart w:id="937" w:name="_Toc419984931"/>
      <w:bookmarkStart w:id="938" w:name="_Toc155799788"/>
      <w:r>
        <w:rPr>
          <w:rFonts w:hint="eastAsia" w:ascii="黑体" w:hAnsi="宋体" w:eastAsia="黑体"/>
          <w:color w:val="000000"/>
          <w:sz w:val="24"/>
          <w:highlight w:val="none"/>
        </w:rPr>
        <w:t>（一）项目管理机构组成表</w:t>
      </w:r>
      <w:bookmarkEnd w:id="936"/>
      <w:bookmarkEnd w:id="937"/>
      <w:bookmarkEnd w:id="938"/>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3F1E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D65B725">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职务</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1151972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DC9D70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职称</w:t>
            </w:r>
          </w:p>
        </w:tc>
        <w:tc>
          <w:tcPr>
            <w:tcW w:w="5670" w:type="dxa"/>
            <w:gridSpan w:val="5"/>
            <w:tcBorders>
              <w:top w:val="single" w:color="auto" w:sz="4" w:space="0"/>
              <w:left w:val="single" w:color="auto" w:sz="4" w:space="0"/>
              <w:bottom w:val="single" w:color="auto" w:sz="4" w:space="0"/>
              <w:right w:val="single" w:color="auto" w:sz="4" w:space="0"/>
            </w:tcBorders>
            <w:noWrap w:val="0"/>
            <w:vAlign w:val="center"/>
          </w:tcPr>
          <w:p w14:paraId="3C624497">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执业或职业资格证明</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13B4FD58">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备注</w:t>
            </w:r>
          </w:p>
        </w:tc>
      </w:tr>
      <w:tr w14:paraId="5172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D0C9EFC">
            <w:pPr>
              <w:widowControl/>
              <w:jc w:val="left"/>
              <w:rPr>
                <w:rFonts w:ascii="宋体" w:hAnsi="宋体"/>
                <w:color w:val="000000"/>
                <w:sz w:val="18"/>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47C68E3F">
            <w:pPr>
              <w:widowControl/>
              <w:jc w:val="left"/>
              <w:rPr>
                <w:rFonts w:ascii="宋体" w:hAnsi="宋体"/>
                <w:color w:val="000000"/>
                <w:sz w:val="18"/>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60DC705">
            <w:pPr>
              <w:widowControl/>
              <w:jc w:val="left"/>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09AA3C">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证书名称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5334BFA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级别</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90EE35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证号</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FB520DF">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专业</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F9B8488">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养老保险</w:t>
            </w: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9A6A2E8">
            <w:pPr>
              <w:widowControl/>
              <w:jc w:val="left"/>
              <w:rPr>
                <w:rFonts w:ascii="宋体" w:hAnsi="宋体"/>
                <w:color w:val="000000"/>
                <w:sz w:val="18"/>
                <w:szCs w:val="21"/>
                <w:highlight w:val="none"/>
              </w:rPr>
            </w:pPr>
          </w:p>
        </w:tc>
      </w:tr>
      <w:tr w14:paraId="77D5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AC4B7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EF68B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1C72FA0">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F46367">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FC3C297">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921E80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94E6A55">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AC69A55">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9EF39E5">
            <w:pPr>
              <w:tabs>
                <w:tab w:val="center" w:pos="4153"/>
                <w:tab w:val="right" w:pos="8306"/>
              </w:tabs>
              <w:snapToGrid w:val="0"/>
              <w:jc w:val="center"/>
              <w:rPr>
                <w:rFonts w:ascii="宋体" w:hAnsi="宋体"/>
                <w:color w:val="000000"/>
                <w:sz w:val="18"/>
                <w:szCs w:val="21"/>
                <w:highlight w:val="none"/>
              </w:rPr>
            </w:pPr>
          </w:p>
        </w:tc>
      </w:tr>
      <w:tr w14:paraId="07B9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680F7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FDBBB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C96D54F">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919D54">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63EEA77">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6F03556">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53EA1A2">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5520DF1">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8BEFE67">
            <w:pPr>
              <w:tabs>
                <w:tab w:val="center" w:pos="4153"/>
                <w:tab w:val="right" w:pos="8306"/>
              </w:tabs>
              <w:snapToGrid w:val="0"/>
              <w:jc w:val="center"/>
              <w:rPr>
                <w:rFonts w:ascii="宋体" w:hAnsi="宋体"/>
                <w:color w:val="000000"/>
                <w:sz w:val="18"/>
                <w:szCs w:val="21"/>
                <w:highlight w:val="none"/>
              </w:rPr>
            </w:pPr>
          </w:p>
        </w:tc>
      </w:tr>
      <w:tr w14:paraId="0A8A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B672D6">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8875B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96FA11">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FFE6C7">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8D9921D">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4DA1C6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759CEAE">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7D7CDA2">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679F6C0">
            <w:pPr>
              <w:tabs>
                <w:tab w:val="center" w:pos="4153"/>
                <w:tab w:val="right" w:pos="8306"/>
              </w:tabs>
              <w:snapToGrid w:val="0"/>
              <w:jc w:val="center"/>
              <w:rPr>
                <w:rFonts w:ascii="宋体" w:hAnsi="宋体"/>
                <w:color w:val="000000"/>
                <w:sz w:val="18"/>
                <w:szCs w:val="21"/>
                <w:highlight w:val="none"/>
              </w:rPr>
            </w:pPr>
          </w:p>
        </w:tc>
      </w:tr>
      <w:tr w14:paraId="7575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CA9941">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B56B0F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F130C1">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DD3D53">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E8EBFFD">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10AE07A">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4A1A58E">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DA05661">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BA6E616">
            <w:pPr>
              <w:tabs>
                <w:tab w:val="center" w:pos="4153"/>
                <w:tab w:val="right" w:pos="8306"/>
              </w:tabs>
              <w:snapToGrid w:val="0"/>
              <w:jc w:val="center"/>
              <w:rPr>
                <w:rFonts w:ascii="宋体" w:hAnsi="宋体"/>
                <w:color w:val="000000"/>
                <w:sz w:val="18"/>
                <w:szCs w:val="21"/>
                <w:highlight w:val="none"/>
              </w:rPr>
            </w:pPr>
          </w:p>
        </w:tc>
      </w:tr>
      <w:tr w14:paraId="428F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9AD8718">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CAC90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12FD73">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7F3FDD">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CBADA2B">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0A13D5A">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49AF0AD">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8DF2660">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949294D">
            <w:pPr>
              <w:tabs>
                <w:tab w:val="center" w:pos="4153"/>
                <w:tab w:val="right" w:pos="8306"/>
              </w:tabs>
              <w:snapToGrid w:val="0"/>
              <w:jc w:val="center"/>
              <w:rPr>
                <w:rFonts w:ascii="宋体" w:hAnsi="宋体"/>
                <w:color w:val="000000"/>
                <w:sz w:val="18"/>
                <w:szCs w:val="21"/>
                <w:highlight w:val="none"/>
              </w:rPr>
            </w:pPr>
          </w:p>
        </w:tc>
      </w:tr>
      <w:tr w14:paraId="1CCA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281C46">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5469F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10CC4F">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E352AB">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7E143B68">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B069B46">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52467A3">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CC3FD28">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D1A586">
            <w:pPr>
              <w:tabs>
                <w:tab w:val="center" w:pos="4153"/>
                <w:tab w:val="right" w:pos="8306"/>
              </w:tabs>
              <w:snapToGrid w:val="0"/>
              <w:jc w:val="center"/>
              <w:rPr>
                <w:rFonts w:ascii="宋体" w:hAnsi="宋体"/>
                <w:color w:val="000000"/>
                <w:sz w:val="18"/>
                <w:szCs w:val="21"/>
                <w:highlight w:val="none"/>
              </w:rPr>
            </w:pPr>
          </w:p>
        </w:tc>
      </w:tr>
      <w:tr w14:paraId="40E5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3D4A4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2EF0B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65A032">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C46DDE">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5976F36">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55FA0D2">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0144E91">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CACA32E">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D951D07">
            <w:pPr>
              <w:tabs>
                <w:tab w:val="center" w:pos="4153"/>
                <w:tab w:val="right" w:pos="8306"/>
              </w:tabs>
              <w:snapToGrid w:val="0"/>
              <w:jc w:val="center"/>
              <w:rPr>
                <w:rFonts w:ascii="宋体" w:hAnsi="宋体"/>
                <w:color w:val="000000"/>
                <w:sz w:val="18"/>
                <w:szCs w:val="21"/>
                <w:highlight w:val="none"/>
              </w:rPr>
            </w:pPr>
          </w:p>
        </w:tc>
      </w:tr>
      <w:tr w14:paraId="7343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B5F12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5B4845">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5164D4">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512F3B">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4FBB624A">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6377A78">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334843C">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55B0975">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1F1014F">
            <w:pPr>
              <w:tabs>
                <w:tab w:val="center" w:pos="4153"/>
                <w:tab w:val="right" w:pos="8306"/>
              </w:tabs>
              <w:snapToGrid w:val="0"/>
              <w:jc w:val="center"/>
              <w:rPr>
                <w:rFonts w:ascii="宋体" w:hAnsi="宋体"/>
                <w:color w:val="000000"/>
                <w:sz w:val="18"/>
                <w:szCs w:val="21"/>
                <w:highlight w:val="none"/>
              </w:rPr>
            </w:pPr>
          </w:p>
        </w:tc>
      </w:tr>
      <w:tr w14:paraId="6C27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716B8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FFDCB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9C3F0E">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6DB21E">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B7FD37F">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A1E3101">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2DAFDBE">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97F9289">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445BB60">
            <w:pPr>
              <w:tabs>
                <w:tab w:val="center" w:pos="4153"/>
                <w:tab w:val="right" w:pos="8306"/>
              </w:tabs>
              <w:snapToGrid w:val="0"/>
              <w:jc w:val="center"/>
              <w:rPr>
                <w:rFonts w:ascii="宋体" w:hAnsi="宋体"/>
                <w:color w:val="000000"/>
                <w:sz w:val="18"/>
                <w:szCs w:val="21"/>
                <w:highlight w:val="none"/>
              </w:rPr>
            </w:pPr>
          </w:p>
        </w:tc>
      </w:tr>
      <w:tr w14:paraId="6EBC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00F6B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F9528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CAED1CE">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D16E11">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03459BF">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28C712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6D816E9">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2BFC091">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D90B7B">
            <w:pPr>
              <w:tabs>
                <w:tab w:val="center" w:pos="4153"/>
                <w:tab w:val="right" w:pos="8306"/>
              </w:tabs>
              <w:snapToGrid w:val="0"/>
              <w:jc w:val="center"/>
              <w:rPr>
                <w:rFonts w:ascii="宋体" w:hAnsi="宋体"/>
                <w:color w:val="000000"/>
                <w:sz w:val="18"/>
                <w:szCs w:val="21"/>
                <w:highlight w:val="none"/>
              </w:rPr>
            </w:pPr>
          </w:p>
        </w:tc>
      </w:tr>
      <w:tr w14:paraId="3362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EB00B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BFC75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00E5A6">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6A11EA">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D0653BA">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248E87E">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44CA382">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B2F9238">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5378DA1">
            <w:pPr>
              <w:tabs>
                <w:tab w:val="center" w:pos="4153"/>
                <w:tab w:val="right" w:pos="8306"/>
              </w:tabs>
              <w:snapToGrid w:val="0"/>
              <w:jc w:val="center"/>
              <w:rPr>
                <w:rFonts w:ascii="宋体" w:hAnsi="宋体"/>
                <w:color w:val="000000"/>
                <w:sz w:val="18"/>
                <w:szCs w:val="21"/>
                <w:highlight w:val="none"/>
              </w:rPr>
            </w:pPr>
          </w:p>
        </w:tc>
      </w:tr>
      <w:tr w14:paraId="4AAA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725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30125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E77738">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45A414">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4C50999">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097A5E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4CFC0FD">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FFFCDCA">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5F1BFDA">
            <w:pPr>
              <w:tabs>
                <w:tab w:val="center" w:pos="4153"/>
                <w:tab w:val="right" w:pos="8306"/>
              </w:tabs>
              <w:snapToGrid w:val="0"/>
              <w:jc w:val="center"/>
              <w:rPr>
                <w:rFonts w:ascii="宋体" w:hAnsi="宋体"/>
                <w:color w:val="000000"/>
                <w:sz w:val="18"/>
                <w:szCs w:val="21"/>
                <w:highlight w:val="none"/>
              </w:rPr>
            </w:pPr>
          </w:p>
        </w:tc>
      </w:tr>
      <w:tr w14:paraId="1C04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1829A2">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8F561C">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B26EC7">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C57CB">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5A615219">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E2672E6">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EAD77A">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9986CB1">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BA3ABF">
            <w:pPr>
              <w:tabs>
                <w:tab w:val="center" w:pos="4153"/>
                <w:tab w:val="right" w:pos="8306"/>
              </w:tabs>
              <w:snapToGrid w:val="0"/>
              <w:jc w:val="center"/>
              <w:rPr>
                <w:rFonts w:ascii="宋体" w:hAnsi="宋体"/>
                <w:color w:val="000000"/>
                <w:sz w:val="18"/>
                <w:szCs w:val="21"/>
                <w:highlight w:val="none"/>
              </w:rPr>
            </w:pPr>
          </w:p>
        </w:tc>
      </w:tr>
      <w:tr w14:paraId="5A3C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A23FB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9E61F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3757191">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EE4A9E">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7CDB6177">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7F23B6B">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473A1B4">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E82E9DA">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0C97F0D">
            <w:pPr>
              <w:tabs>
                <w:tab w:val="center" w:pos="4153"/>
                <w:tab w:val="right" w:pos="8306"/>
              </w:tabs>
              <w:snapToGrid w:val="0"/>
              <w:jc w:val="center"/>
              <w:rPr>
                <w:rFonts w:ascii="宋体" w:hAnsi="宋体"/>
                <w:color w:val="000000"/>
                <w:sz w:val="18"/>
                <w:szCs w:val="21"/>
                <w:highlight w:val="none"/>
              </w:rPr>
            </w:pPr>
          </w:p>
        </w:tc>
      </w:tr>
      <w:tr w14:paraId="5FBD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3A991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DEAFE6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F481FD">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4C2356">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398D1BA">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755D7BA">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91B2492">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7A0D715">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8857F41">
            <w:pPr>
              <w:tabs>
                <w:tab w:val="center" w:pos="4153"/>
                <w:tab w:val="right" w:pos="8306"/>
              </w:tabs>
              <w:snapToGrid w:val="0"/>
              <w:jc w:val="center"/>
              <w:rPr>
                <w:rFonts w:ascii="宋体" w:hAnsi="宋体"/>
                <w:color w:val="000000"/>
                <w:sz w:val="18"/>
                <w:szCs w:val="21"/>
                <w:highlight w:val="none"/>
              </w:rPr>
            </w:pPr>
          </w:p>
        </w:tc>
      </w:tr>
      <w:tr w14:paraId="1618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519726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70D508">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F4F3CA">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3E646E">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821013D">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716ACA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57A65A3">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F62D1EC">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5FB9FCA">
            <w:pPr>
              <w:tabs>
                <w:tab w:val="center" w:pos="4153"/>
                <w:tab w:val="right" w:pos="8306"/>
              </w:tabs>
              <w:snapToGrid w:val="0"/>
              <w:jc w:val="center"/>
              <w:rPr>
                <w:rFonts w:ascii="宋体" w:hAnsi="宋体"/>
                <w:color w:val="000000"/>
                <w:sz w:val="18"/>
                <w:szCs w:val="21"/>
                <w:highlight w:val="none"/>
              </w:rPr>
            </w:pPr>
          </w:p>
        </w:tc>
      </w:tr>
      <w:tr w14:paraId="628E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9D6308">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7AF84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1D8B19D">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248E9E">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7AA3545">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8C6BA6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B674F66">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28A6CC5">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E1DB53A">
            <w:pPr>
              <w:tabs>
                <w:tab w:val="center" w:pos="4153"/>
                <w:tab w:val="right" w:pos="8306"/>
              </w:tabs>
              <w:snapToGrid w:val="0"/>
              <w:jc w:val="center"/>
              <w:rPr>
                <w:rFonts w:ascii="宋体" w:hAnsi="宋体"/>
                <w:color w:val="000000"/>
                <w:sz w:val="18"/>
                <w:szCs w:val="21"/>
                <w:highlight w:val="none"/>
              </w:rPr>
            </w:pPr>
          </w:p>
        </w:tc>
      </w:tr>
      <w:tr w14:paraId="4538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5EB451">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33AAD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270E6B">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ED172E">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34565E2">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CAB18B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BE9F26">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0D608FB">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2FE06D4">
            <w:pPr>
              <w:tabs>
                <w:tab w:val="center" w:pos="4153"/>
                <w:tab w:val="right" w:pos="8306"/>
              </w:tabs>
              <w:snapToGrid w:val="0"/>
              <w:jc w:val="center"/>
              <w:rPr>
                <w:rFonts w:ascii="宋体" w:hAnsi="宋体"/>
                <w:color w:val="000000"/>
                <w:sz w:val="18"/>
                <w:szCs w:val="21"/>
                <w:highlight w:val="none"/>
              </w:rPr>
            </w:pPr>
          </w:p>
        </w:tc>
      </w:tr>
      <w:tr w14:paraId="22F8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E57365">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C1FC8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6A1C65">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2A37F2">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647BBA3">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71B009">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896D91E">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9CD8799">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5BD5A73">
            <w:pPr>
              <w:tabs>
                <w:tab w:val="center" w:pos="4153"/>
                <w:tab w:val="right" w:pos="8306"/>
              </w:tabs>
              <w:snapToGrid w:val="0"/>
              <w:jc w:val="center"/>
              <w:rPr>
                <w:rFonts w:ascii="宋体" w:hAnsi="宋体"/>
                <w:color w:val="000000"/>
                <w:sz w:val="18"/>
                <w:szCs w:val="21"/>
                <w:highlight w:val="none"/>
              </w:rPr>
            </w:pPr>
          </w:p>
        </w:tc>
      </w:tr>
      <w:tr w14:paraId="4DA4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48964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8AF97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C250DD">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3FE78D">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D236FDA">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FA2EFE0">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D1D29DC">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E92A34E">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A6CDBA9">
            <w:pPr>
              <w:tabs>
                <w:tab w:val="center" w:pos="4153"/>
                <w:tab w:val="right" w:pos="8306"/>
              </w:tabs>
              <w:snapToGrid w:val="0"/>
              <w:jc w:val="center"/>
              <w:rPr>
                <w:rFonts w:ascii="宋体" w:hAnsi="宋体"/>
                <w:color w:val="000000"/>
                <w:sz w:val="18"/>
                <w:szCs w:val="21"/>
                <w:highlight w:val="none"/>
              </w:rPr>
            </w:pPr>
          </w:p>
        </w:tc>
      </w:tr>
      <w:tr w14:paraId="543A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AF39C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0A75E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C6B837D">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0547B5">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FEC8BAD">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4DFBDD5">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E2D6C2">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F2AE3B3">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90DBC83">
            <w:pPr>
              <w:tabs>
                <w:tab w:val="center" w:pos="4153"/>
                <w:tab w:val="right" w:pos="8306"/>
              </w:tabs>
              <w:snapToGrid w:val="0"/>
              <w:jc w:val="center"/>
              <w:rPr>
                <w:rFonts w:ascii="宋体" w:hAnsi="宋体"/>
                <w:color w:val="000000"/>
                <w:sz w:val="18"/>
                <w:szCs w:val="21"/>
                <w:highlight w:val="none"/>
              </w:rPr>
            </w:pPr>
          </w:p>
        </w:tc>
      </w:tr>
      <w:tr w14:paraId="2020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6D56E2">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5C797B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D45849">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2C7B3C">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E9D2594">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064F9BA">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E38BD51">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80EDEF9">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E8DA066">
            <w:pPr>
              <w:tabs>
                <w:tab w:val="center" w:pos="4153"/>
                <w:tab w:val="right" w:pos="8306"/>
              </w:tabs>
              <w:snapToGrid w:val="0"/>
              <w:jc w:val="center"/>
              <w:rPr>
                <w:rFonts w:ascii="宋体" w:hAnsi="宋体"/>
                <w:color w:val="000000"/>
                <w:sz w:val="18"/>
                <w:szCs w:val="21"/>
                <w:highlight w:val="none"/>
              </w:rPr>
            </w:pPr>
          </w:p>
        </w:tc>
      </w:tr>
      <w:tr w14:paraId="001D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0235CC">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6BC5A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E1D37E">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6A842A">
            <w:pPr>
              <w:tabs>
                <w:tab w:val="center" w:pos="4153"/>
                <w:tab w:val="right" w:pos="8306"/>
              </w:tabs>
              <w:snapToGrid w:val="0"/>
              <w:jc w:val="center"/>
              <w:rPr>
                <w:rFonts w:ascii="宋体" w:hAnsi="宋体"/>
                <w:color w:val="000000"/>
                <w:sz w:val="18"/>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448D1D8">
            <w:pPr>
              <w:tabs>
                <w:tab w:val="center" w:pos="4153"/>
                <w:tab w:val="right" w:pos="8306"/>
              </w:tabs>
              <w:snapToGrid w:val="0"/>
              <w:jc w:val="center"/>
              <w:rPr>
                <w:rFonts w:ascii="宋体" w:hAnsi="宋体"/>
                <w:color w:val="000000"/>
                <w:sz w:val="18"/>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9718B5D">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98A111">
            <w:pPr>
              <w:tabs>
                <w:tab w:val="center" w:pos="4153"/>
                <w:tab w:val="right" w:pos="8306"/>
              </w:tabs>
              <w:snapToGrid w:val="0"/>
              <w:jc w:val="center"/>
              <w:rPr>
                <w:rFonts w:ascii="宋体" w:hAnsi="宋体"/>
                <w:color w:val="000000"/>
                <w:sz w:val="18"/>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101BEE9">
            <w:pPr>
              <w:tabs>
                <w:tab w:val="center" w:pos="4153"/>
                <w:tab w:val="right" w:pos="8306"/>
              </w:tabs>
              <w:snapToGrid w:val="0"/>
              <w:jc w:val="center"/>
              <w:rPr>
                <w:rFonts w:ascii="宋体" w:hAnsi="宋体"/>
                <w:color w:val="000000"/>
                <w:sz w:val="18"/>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732B3D">
            <w:pPr>
              <w:tabs>
                <w:tab w:val="center" w:pos="4153"/>
                <w:tab w:val="right" w:pos="8306"/>
              </w:tabs>
              <w:snapToGrid w:val="0"/>
              <w:jc w:val="center"/>
              <w:rPr>
                <w:rFonts w:ascii="宋体" w:hAnsi="宋体"/>
                <w:color w:val="000000"/>
                <w:sz w:val="18"/>
                <w:szCs w:val="21"/>
                <w:highlight w:val="none"/>
              </w:rPr>
            </w:pPr>
          </w:p>
        </w:tc>
      </w:tr>
    </w:tbl>
    <w:p w14:paraId="2C2A5360">
      <w:pPr>
        <w:spacing w:line="420" w:lineRule="exact"/>
        <w:rPr>
          <w:rFonts w:hint="eastAsia" w:ascii="宋体" w:hAnsi="宋体"/>
          <w:color w:val="000000"/>
          <w:szCs w:val="21"/>
          <w:highlight w:val="none"/>
        </w:rPr>
      </w:pPr>
    </w:p>
    <w:p w14:paraId="682D3A18">
      <w:pPr>
        <w:spacing w:before="156" w:beforeLines="50" w:after="312" w:afterLines="100" w:line="420" w:lineRule="exact"/>
        <w:outlineLvl w:val="0"/>
        <w:rPr>
          <w:rFonts w:hint="eastAsia" w:ascii="黑体" w:hAnsi="宋体" w:eastAsia="黑体"/>
          <w:color w:val="000000"/>
          <w:sz w:val="24"/>
          <w:highlight w:val="none"/>
        </w:rPr>
      </w:pPr>
      <w:r>
        <w:rPr>
          <w:rFonts w:hint="eastAsia" w:ascii="宋体" w:hAnsi="宋体"/>
          <w:color w:val="000000"/>
          <w:szCs w:val="21"/>
          <w:highlight w:val="none"/>
        </w:rPr>
        <w:br w:type="page"/>
      </w:r>
      <w:bookmarkStart w:id="939" w:name="_Toc149833968"/>
      <w:bookmarkStart w:id="940" w:name="_Toc419984932"/>
      <w:bookmarkStart w:id="941" w:name="_Toc155799789"/>
      <w:r>
        <w:rPr>
          <w:rFonts w:hint="eastAsia" w:ascii="黑体" w:hAnsi="宋体" w:eastAsia="黑体"/>
          <w:color w:val="000000"/>
          <w:sz w:val="24"/>
          <w:highlight w:val="none"/>
        </w:rPr>
        <w:t>（二）主要人员简历表</w:t>
      </w:r>
      <w:bookmarkEnd w:id="939"/>
      <w:bookmarkEnd w:id="940"/>
      <w:bookmarkEnd w:id="941"/>
    </w:p>
    <w:p w14:paraId="573ABBF0">
      <w:pPr>
        <w:spacing w:line="420" w:lineRule="exact"/>
        <w:rPr>
          <w:rFonts w:hint="eastAsia" w:ascii="黑体" w:hAnsi="宋体" w:eastAsia="黑体"/>
          <w:color w:val="000000"/>
          <w:szCs w:val="21"/>
          <w:highlight w:val="none"/>
        </w:rPr>
      </w:pPr>
      <w:r>
        <w:rPr>
          <w:rFonts w:hint="eastAsia" w:ascii="黑体" w:hAnsi="宋体" w:eastAsia="黑体"/>
          <w:color w:val="000000"/>
          <w:szCs w:val="21"/>
          <w:highlight w:val="none"/>
        </w:rPr>
        <w:t>附1：项目经理简历表</w:t>
      </w:r>
    </w:p>
    <w:p w14:paraId="7FCA16AD">
      <w:pPr>
        <w:spacing w:line="420" w:lineRule="exact"/>
        <w:rPr>
          <w:rFonts w:hint="eastAsia" w:ascii="宋体" w:hAnsi="宋体"/>
          <w:color w:val="000000"/>
          <w:szCs w:val="21"/>
          <w:highlight w:val="none"/>
        </w:rPr>
      </w:pPr>
      <w:r>
        <w:rPr>
          <w:rFonts w:hint="eastAsia" w:ascii="宋体" w:hAnsi="宋体"/>
          <w:color w:val="000000"/>
          <w:szCs w:val="21"/>
          <w:highlight w:val="none"/>
        </w:rPr>
        <w:t>项目经理应附建造师注册证书、安全生产考核合格证书、身份证，未担任其他在施建设工程项目项目经理的承诺书。</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1D4C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4421819F">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姓  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71B447">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4C4AB4">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年  龄</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69FFE79">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2ABB4F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学历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7B06150">
            <w:pPr>
              <w:tabs>
                <w:tab w:val="center" w:pos="4153"/>
                <w:tab w:val="right" w:pos="8306"/>
              </w:tabs>
              <w:snapToGrid w:val="0"/>
              <w:jc w:val="center"/>
              <w:rPr>
                <w:rFonts w:ascii="宋体" w:hAnsi="宋体"/>
                <w:color w:val="000000"/>
                <w:sz w:val="18"/>
                <w:szCs w:val="21"/>
                <w:highlight w:val="none"/>
              </w:rPr>
            </w:pPr>
          </w:p>
        </w:tc>
      </w:tr>
      <w:tr w14:paraId="6A0F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7666165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职  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F1D7A4C">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F733A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职  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286BD06">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C2CF02">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拟在本工程任职</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62BA923">
            <w:pPr>
              <w:tabs>
                <w:tab w:val="center" w:pos="4153"/>
                <w:tab w:val="right" w:pos="8306"/>
              </w:tabs>
              <w:snapToGrid w:val="0"/>
              <w:jc w:val="center"/>
              <w:rPr>
                <w:rFonts w:ascii="宋体" w:hAnsi="宋体"/>
                <w:color w:val="000000"/>
                <w:sz w:val="18"/>
                <w:szCs w:val="21"/>
                <w:highlight w:val="none"/>
              </w:rPr>
            </w:pPr>
          </w:p>
        </w:tc>
      </w:tr>
      <w:tr w14:paraId="4FE3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noWrap w:val="0"/>
            <w:vAlign w:val="center"/>
          </w:tcPr>
          <w:p w14:paraId="7E7975E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注册建造师执业资格等级</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BF79A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 xml:space="preserve">      级</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73E16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建造师专业</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870C5E3">
            <w:pPr>
              <w:tabs>
                <w:tab w:val="center" w:pos="4153"/>
                <w:tab w:val="right" w:pos="8306"/>
              </w:tabs>
              <w:snapToGrid w:val="0"/>
              <w:jc w:val="center"/>
              <w:rPr>
                <w:rFonts w:ascii="宋体" w:hAnsi="宋体"/>
                <w:color w:val="000000"/>
                <w:sz w:val="18"/>
                <w:szCs w:val="21"/>
                <w:highlight w:val="none"/>
              </w:rPr>
            </w:pPr>
          </w:p>
        </w:tc>
      </w:tr>
      <w:tr w14:paraId="02D5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noWrap w:val="0"/>
            <w:vAlign w:val="center"/>
          </w:tcPr>
          <w:p w14:paraId="740ECB22">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安全生产考核合格证书</w:t>
            </w:r>
          </w:p>
        </w:tc>
        <w:tc>
          <w:tcPr>
            <w:tcW w:w="5244" w:type="dxa"/>
            <w:gridSpan w:val="3"/>
            <w:tcBorders>
              <w:top w:val="single" w:color="auto" w:sz="4" w:space="0"/>
              <w:left w:val="single" w:color="auto" w:sz="4" w:space="0"/>
              <w:bottom w:val="single" w:color="auto" w:sz="4" w:space="0"/>
              <w:right w:val="single" w:color="auto" w:sz="4" w:space="0"/>
            </w:tcBorders>
            <w:noWrap w:val="0"/>
            <w:vAlign w:val="center"/>
          </w:tcPr>
          <w:p w14:paraId="37173D1F">
            <w:pPr>
              <w:tabs>
                <w:tab w:val="center" w:pos="4153"/>
                <w:tab w:val="right" w:pos="8306"/>
              </w:tabs>
              <w:snapToGrid w:val="0"/>
              <w:jc w:val="center"/>
              <w:rPr>
                <w:rFonts w:ascii="宋体" w:hAnsi="宋体"/>
                <w:color w:val="000000"/>
                <w:sz w:val="18"/>
                <w:szCs w:val="21"/>
                <w:highlight w:val="none"/>
              </w:rPr>
            </w:pPr>
          </w:p>
        </w:tc>
      </w:tr>
      <w:tr w14:paraId="5FE4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72F0430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毕业学校</w:t>
            </w:r>
          </w:p>
        </w:tc>
        <w:tc>
          <w:tcPr>
            <w:tcW w:w="7413" w:type="dxa"/>
            <w:gridSpan w:val="5"/>
            <w:tcBorders>
              <w:top w:val="single" w:color="auto" w:sz="4" w:space="0"/>
              <w:left w:val="single" w:color="auto" w:sz="4" w:space="0"/>
              <w:bottom w:val="single" w:color="auto" w:sz="4" w:space="0"/>
              <w:right w:val="single" w:color="auto" w:sz="4" w:space="0"/>
            </w:tcBorders>
            <w:noWrap w:val="0"/>
            <w:vAlign w:val="center"/>
          </w:tcPr>
          <w:p w14:paraId="1A19E595">
            <w:pPr>
              <w:tabs>
                <w:tab w:val="center" w:pos="4153"/>
                <w:tab w:val="right" w:pos="8306"/>
              </w:tabs>
              <w:snapToGrid w:val="0"/>
              <w:ind w:firstLine="720" w:firstLineChars="400"/>
              <w:rPr>
                <w:rFonts w:ascii="宋体" w:hAnsi="宋体"/>
                <w:color w:val="000000"/>
                <w:sz w:val="18"/>
                <w:szCs w:val="21"/>
                <w:highlight w:val="none"/>
              </w:rPr>
            </w:pPr>
            <w:r>
              <w:rPr>
                <w:rFonts w:hint="eastAsia" w:ascii="宋体" w:hAnsi="宋体"/>
                <w:color w:val="000000"/>
                <w:sz w:val="18"/>
                <w:szCs w:val="21"/>
                <w:highlight w:val="none"/>
              </w:rPr>
              <w:t>年毕业于                  学校            专业</w:t>
            </w:r>
          </w:p>
        </w:tc>
      </w:tr>
      <w:tr w14:paraId="521F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tcBorders>
              <w:top w:val="single" w:color="auto" w:sz="4" w:space="0"/>
              <w:left w:val="single" w:color="auto" w:sz="4" w:space="0"/>
              <w:bottom w:val="single" w:color="auto" w:sz="4" w:space="0"/>
              <w:right w:val="single" w:color="auto" w:sz="4" w:space="0"/>
            </w:tcBorders>
            <w:noWrap w:val="0"/>
            <w:vAlign w:val="center"/>
          </w:tcPr>
          <w:p w14:paraId="6F47409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主要工作经历</w:t>
            </w:r>
          </w:p>
        </w:tc>
      </w:tr>
      <w:tr w14:paraId="0856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65080655">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时  间</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14B43621">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参加过的类似项目名称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3EEBB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工程概况说明</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F4CC692">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发包人及联系电话</w:t>
            </w:r>
          </w:p>
        </w:tc>
      </w:tr>
      <w:tr w14:paraId="1E38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0A2EC2A">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543490D8">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A0F263">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2E6216B">
            <w:pPr>
              <w:tabs>
                <w:tab w:val="center" w:pos="4153"/>
                <w:tab w:val="right" w:pos="8306"/>
              </w:tabs>
              <w:snapToGrid w:val="0"/>
              <w:jc w:val="center"/>
              <w:rPr>
                <w:rFonts w:ascii="宋体" w:hAnsi="宋体"/>
                <w:color w:val="000000"/>
                <w:sz w:val="18"/>
                <w:szCs w:val="21"/>
                <w:highlight w:val="none"/>
              </w:rPr>
            </w:pPr>
          </w:p>
        </w:tc>
      </w:tr>
      <w:tr w14:paraId="336B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56BCE84F">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35C84999">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7294E92">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DC004C">
            <w:pPr>
              <w:tabs>
                <w:tab w:val="center" w:pos="4153"/>
                <w:tab w:val="right" w:pos="8306"/>
              </w:tabs>
              <w:snapToGrid w:val="0"/>
              <w:jc w:val="center"/>
              <w:rPr>
                <w:rFonts w:ascii="宋体" w:hAnsi="宋体"/>
                <w:color w:val="000000"/>
                <w:sz w:val="18"/>
                <w:szCs w:val="21"/>
                <w:highlight w:val="none"/>
              </w:rPr>
            </w:pPr>
          </w:p>
        </w:tc>
      </w:tr>
      <w:tr w14:paraId="5F30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70380C83">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2293031B">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1544CB">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BD3C9FF">
            <w:pPr>
              <w:tabs>
                <w:tab w:val="center" w:pos="4153"/>
                <w:tab w:val="right" w:pos="8306"/>
              </w:tabs>
              <w:snapToGrid w:val="0"/>
              <w:jc w:val="center"/>
              <w:rPr>
                <w:rFonts w:ascii="宋体" w:hAnsi="宋体"/>
                <w:color w:val="000000"/>
                <w:sz w:val="18"/>
                <w:szCs w:val="21"/>
                <w:highlight w:val="none"/>
              </w:rPr>
            </w:pPr>
          </w:p>
        </w:tc>
      </w:tr>
      <w:tr w14:paraId="0B70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4BE3C3C">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19FEC451">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D0F3A3">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B2FE64C">
            <w:pPr>
              <w:tabs>
                <w:tab w:val="center" w:pos="4153"/>
                <w:tab w:val="right" w:pos="8306"/>
              </w:tabs>
              <w:snapToGrid w:val="0"/>
              <w:jc w:val="center"/>
              <w:rPr>
                <w:rFonts w:ascii="宋体" w:hAnsi="宋体"/>
                <w:color w:val="000000"/>
                <w:sz w:val="18"/>
                <w:szCs w:val="21"/>
                <w:highlight w:val="none"/>
              </w:rPr>
            </w:pPr>
          </w:p>
        </w:tc>
      </w:tr>
      <w:tr w14:paraId="22FD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729ADD00">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00629EB2">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6853C3">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410592D">
            <w:pPr>
              <w:tabs>
                <w:tab w:val="center" w:pos="4153"/>
                <w:tab w:val="right" w:pos="8306"/>
              </w:tabs>
              <w:snapToGrid w:val="0"/>
              <w:jc w:val="center"/>
              <w:rPr>
                <w:rFonts w:ascii="宋体" w:hAnsi="宋体"/>
                <w:color w:val="000000"/>
                <w:sz w:val="18"/>
                <w:szCs w:val="21"/>
                <w:highlight w:val="none"/>
              </w:rPr>
            </w:pPr>
          </w:p>
        </w:tc>
      </w:tr>
      <w:tr w14:paraId="2C5E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4BFFF320">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4A70150B">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F0483C">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96CA02A">
            <w:pPr>
              <w:tabs>
                <w:tab w:val="center" w:pos="4153"/>
                <w:tab w:val="right" w:pos="8306"/>
              </w:tabs>
              <w:snapToGrid w:val="0"/>
              <w:jc w:val="center"/>
              <w:rPr>
                <w:rFonts w:ascii="宋体" w:hAnsi="宋体"/>
                <w:color w:val="000000"/>
                <w:sz w:val="18"/>
                <w:szCs w:val="21"/>
                <w:highlight w:val="none"/>
              </w:rPr>
            </w:pPr>
          </w:p>
        </w:tc>
      </w:tr>
      <w:tr w14:paraId="284C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76A00B1E">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725A07EA">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120CD7">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4B6C154">
            <w:pPr>
              <w:tabs>
                <w:tab w:val="center" w:pos="4153"/>
                <w:tab w:val="right" w:pos="8306"/>
              </w:tabs>
              <w:snapToGrid w:val="0"/>
              <w:jc w:val="center"/>
              <w:rPr>
                <w:rFonts w:ascii="宋体" w:hAnsi="宋体"/>
                <w:color w:val="000000"/>
                <w:sz w:val="18"/>
                <w:szCs w:val="21"/>
                <w:highlight w:val="none"/>
              </w:rPr>
            </w:pPr>
          </w:p>
        </w:tc>
      </w:tr>
      <w:tr w14:paraId="68C2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30FDAE06">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00206170">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CCD394">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A5C11C8">
            <w:pPr>
              <w:tabs>
                <w:tab w:val="center" w:pos="4153"/>
                <w:tab w:val="right" w:pos="8306"/>
              </w:tabs>
              <w:snapToGrid w:val="0"/>
              <w:jc w:val="center"/>
              <w:rPr>
                <w:rFonts w:ascii="宋体" w:hAnsi="宋体"/>
                <w:color w:val="000000"/>
                <w:sz w:val="18"/>
                <w:szCs w:val="21"/>
                <w:highlight w:val="none"/>
              </w:rPr>
            </w:pPr>
          </w:p>
        </w:tc>
      </w:tr>
      <w:tr w14:paraId="5DF5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22D24C53">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6DB75FA8">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D4260F">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B5F9EC9">
            <w:pPr>
              <w:tabs>
                <w:tab w:val="center" w:pos="4153"/>
                <w:tab w:val="right" w:pos="8306"/>
              </w:tabs>
              <w:snapToGrid w:val="0"/>
              <w:jc w:val="center"/>
              <w:rPr>
                <w:rFonts w:ascii="宋体" w:hAnsi="宋体"/>
                <w:color w:val="000000"/>
                <w:sz w:val="18"/>
                <w:szCs w:val="21"/>
                <w:highlight w:val="none"/>
              </w:rPr>
            </w:pPr>
          </w:p>
        </w:tc>
      </w:tr>
      <w:tr w14:paraId="4609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19248D0">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3FFABAD3">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E7650DF">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8F9F65">
            <w:pPr>
              <w:tabs>
                <w:tab w:val="center" w:pos="4153"/>
                <w:tab w:val="right" w:pos="8306"/>
              </w:tabs>
              <w:snapToGrid w:val="0"/>
              <w:jc w:val="center"/>
              <w:rPr>
                <w:rFonts w:ascii="宋体" w:hAnsi="宋体"/>
                <w:color w:val="000000"/>
                <w:sz w:val="18"/>
                <w:szCs w:val="21"/>
                <w:highlight w:val="none"/>
              </w:rPr>
            </w:pPr>
          </w:p>
        </w:tc>
      </w:tr>
    </w:tbl>
    <w:p w14:paraId="0E03A443">
      <w:pPr>
        <w:spacing w:line="420" w:lineRule="exact"/>
        <w:rPr>
          <w:rFonts w:hint="eastAsia" w:ascii="宋体" w:hAnsi="宋体"/>
          <w:color w:val="000000"/>
          <w:szCs w:val="21"/>
          <w:highlight w:val="none"/>
        </w:rPr>
      </w:pPr>
    </w:p>
    <w:p w14:paraId="47E9D4A2">
      <w:pPr>
        <w:spacing w:line="420" w:lineRule="exact"/>
        <w:rPr>
          <w:rFonts w:hint="eastAsia" w:ascii="黑体" w:hAnsi="宋体" w:eastAsia="黑体"/>
          <w:color w:val="000000"/>
          <w:szCs w:val="21"/>
          <w:highlight w:val="none"/>
        </w:rPr>
      </w:pPr>
      <w:r>
        <w:rPr>
          <w:rFonts w:hint="eastAsia" w:ascii="宋体" w:hAnsi="宋体"/>
          <w:color w:val="000000"/>
          <w:szCs w:val="21"/>
          <w:highlight w:val="none"/>
        </w:rPr>
        <w:br w:type="page"/>
      </w:r>
      <w:r>
        <w:rPr>
          <w:rFonts w:hint="eastAsia" w:ascii="黑体" w:hAnsi="宋体" w:eastAsia="黑体"/>
          <w:color w:val="000000"/>
          <w:szCs w:val="21"/>
          <w:highlight w:val="none"/>
        </w:rPr>
        <w:t>附2：主要项目管理人员简历表</w:t>
      </w:r>
    </w:p>
    <w:p w14:paraId="0FCB0D9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000000"/>
          <w:szCs w:val="21"/>
          <w:highlight w:val="none"/>
          <w:lang w:eastAsia="zh-CN"/>
        </w:rPr>
      </w:pPr>
      <w:r>
        <w:rPr>
          <w:rFonts w:hint="eastAsia" w:ascii="宋体" w:hAnsi="宋体"/>
          <w:color w:val="000000"/>
          <w:szCs w:val="21"/>
          <w:highlight w:val="none"/>
        </w:rPr>
        <w:t>主要项目管理人员指技术负责人、专职安全生产管理人员等岗位人员</w:t>
      </w:r>
      <w:r>
        <w:rPr>
          <w:rFonts w:hint="eastAsia" w:ascii="宋体" w:hAnsi="宋体"/>
          <w:color w:val="000000"/>
          <w:szCs w:val="21"/>
          <w:highlight w:val="none"/>
          <w:lang w:val="en-US" w:eastAsia="zh-CN"/>
        </w:rPr>
        <w:t>需为本单位人员（提供社保证明）</w:t>
      </w:r>
      <w:r>
        <w:rPr>
          <w:rFonts w:hint="eastAsia" w:ascii="宋体" w:hAnsi="宋体"/>
          <w:color w:val="000000"/>
          <w:szCs w:val="21"/>
          <w:highlight w:val="none"/>
        </w:rPr>
        <w:t>。技术负责人附相关职称证书，其他岗位人员附相关岗位证书，专职安全生产管理人员应附安全生产考核合格证书。</w:t>
      </w:r>
    </w:p>
    <w:p w14:paraId="7AF860D2">
      <w:pPr>
        <w:rPr>
          <w:rFonts w:hint="eastAsia" w:ascii="宋体" w:hAnsi="宋体"/>
          <w:color w:val="000000"/>
          <w:szCs w:val="21"/>
          <w:highlight w:val="none"/>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1C7D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04EF2AB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姓  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EA23372">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443C0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年  龄</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7B16AFB">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7F97127">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学历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5DEF962">
            <w:pPr>
              <w:tabs>
                <w:tab w:val="center" w:pos="4153"/>
                <w:tab w:val="right" w:pos="8306"/>
              </w:tabs>
              <w:snapToGrid w:val="0"/>
              <w:jc w:val="center"/>
              <w:rPr>
                <w:rFonts w:ascii="宋体" w:hAnsi="宋体"/>
                <w:color w:val="000000"/>
                <w:sz w:val="18"/>
                <w:szCs w:val="21"/>
                <w:highlight w:val="none"/>
              </w:rPr>
            </w:pPr>
          </w:p>
        </w:tc>
      </w:tr>
      <w:tr w14:paraId="305E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058607E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职  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35313DE">
            <w:pPr>
              <w:tabs>
                <w:tab w:val="center" w:pos="4153"/>
                <w:tab w:val="right" w:pos="8306"/>
              </w:tabs>
              <w:snapToGrid w:val="0"/>
              <w:jc w:val="center"/>
              <w:rPr>
                <w:rFonts w:ascii="宋体" w:hAnsi="宋体"/>
                <w:color w:val="000000"/>
                <w:sz w:val="18"/>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FB8E6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职  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54360C">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4120FF">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拟在本工程任职</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671711">
            <w:pPr>
              <w:tabs>
                <w:tab w:val="center" w:pos="4153"/>
                <w:tab w:val="right" w:pos="8306"/>
              </w:tabs>
              <w:snapToGrid w:val="0"/>
              <w:jc w:val="center"/>
              <w:rPr>
                <w:rFonts w:ascii="宋体" w:hAnsi="宋体"/>
                <w:color w:val="000000"/>
                <w:sz w:val="18"/>
                <w:szCs w:val="21"/>
                <w:highlight w:val="none"/>
              </w:rPr>
            </w:pPr>
          </w:p>
        </w:tc>
      </w:tr>
      <w:tr w14:paraId="1AB5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5ECEA33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毕业学校</w:t>
            </w:r>
          </w:p>
        </w:tc>
        <w:tc>
          <w:tcPr>
            <w:tcW w:w="7413" w:type="dxa"/>
            <w:gridSpan w:val="5"/>
            <w:tcBorders>
              <w:top w:val="single" w:color="auto" w:sz="4" w:space="0"/>
              <w:left w:val="single" w:color="auto" w:sz="4" w:space="0"/>
              <w:bottom w:val="single" w:color="auto" w:sz="4" w:space="0"/>
              <w:right w:val="single" w:color="auto" w:sz="4" w:space="0"/>
            </w:tcBorders>
            <w:noWrap w:val="0"/>
            <w:vAlign w:val="center"/>
          </w:tcPr>
          <w:p w14:paraId="0E6CB438">
            <w:pPr>
              <w:tabs>
                <w:tab w:val="center" w:pos="4153"/>
                <w:tab w:val="right" w:pos="8306"/>
              </w:tabs>
              <w:snapToGrid w:val="0"/>
              <w:ind w:firstLine="720" w:firstLineChars="400"/>
              <w:rPr>
                <w:rFonts w:ascii="宋体" w:hAnsi="宋体"/>
                <w:color w:val="000000"/>
                <w:sz w:val="18"/>
                <w:szCs w:val="21"/>
                <w:highlight w:val="none"/>
              </w:rPr>
            </w:pPr>
            <w:r>
              <w:rPr>
                <w:rFonts w:hint="eastAsia" w:ascii="宋体" w:hAnsi="宋体"/>
                <w:color w:val="000000"/>
                <w:sz w:val="18"/>
                <w:szCs w:val="21"/>
                <w:highlight w:val="none"/>
              </w:rPr>
              <w:t>年毕业于                  学校            专业</w:t>
            </w:r>
          </w:p>
        </w:tc>
      </w:tr>
      <w:tr w14:paraId="445E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tcBorders>
              <w:top w:val="single" w:color="auto" w:sz="4" w:space="0"/>
              <w:left w:val="single" w:color="auto" w:sz="4" w:space="0"/>
              <w:bottom w:val="single" w:color="auto" w:sz="4" w:space="0"/>
              <w:right w:val="single" w:color="auto" w:sz="4" w:space="0"/>
            </w:tcBorders>
            <w:noWrap w:val="0"/>
            <w:vAlign w:val="center"/>
          </w:tcPr>
          <w:p w14:paraId="2970542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主要工作经历</w:t>
            </w:r>
          </w:p>
        </w:tc>
      </w:tr>
      <w:tr w14:paraId="44C1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2CE976D9">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时  间</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3D68079E">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参加过的类似项目名称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327554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工程概况说明</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2E6FA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发包人及联系电话</w:t>
            </w:r>
          </w:p>
        </w:tc>
      </w:tr>
      <w:tr w14:paraId="37A0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683A4900">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15B7F09B">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8E834C">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FE402D6">
            <w:pPr>
              <w:tabs>
                <w:tab w:val="center" w:pos="4153"/>
                <w:tab w:val="right" w:pos="8306"/>
              </w:tabs>
              <w:snapToGrid w:val="0"/>
              <w:jc w:val="center"/>
              <w:rPr>
                <w:rFonts w:ascii="宋体" w:hAnsi="宋体"/>
                <w:color w:val="000000"/>
                <w:sz w:val="18"/>
                <w:szCs w:val="21"/>
                <w:highlight w:val="none"/>
              </w:rPr>
            </w:pPr>
          </w:p>
        </w:tc>
      </w:tr>
      <w:tr w14:paraId="18D5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505926C0">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3F248C56">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58847C">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ED5B7A4">
            <w:pPr>
              <w:tabs>
                <w:tab w:val="center" w:pos="4153"/>
                <w:tab w:val="right" w:pos="8306"/>
              </w:tabs>
              <w:snapToGrid w:val="0"/>
              <w:jc w:val="center"/>
              <w:rPr>
                <w:rFonts w:ascii="宋体" w:hAnsi="宋体"/>
                <w:color w:val="000000"/>
                <w:sz w:val="18"/>
                <w:szCs w:val="21"/>
                <w:highlight w:val="none"/>
              </w:rPr>
            </w:pPr>
          </w:p>
        </w:tc>
      </w:tr>
      <w:tr w14:paraId="6B8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6D337B64">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3DB531C5">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BEAE77">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EDF2DAE">
            <w:pPr>
              <w:tabs>
                <w:tab w:val="center" w:pos="4153"/>
                <w:tab w:val="right" w:pos="8306"/>
              </w:tabs>
              <w:snapToGrid w:val="0"/>
              <w:jc w:val="center"/>
              <w:rPr>
                <w:rFonts w:ascii="宋体" w:hAnsi="宋体"/>
                <w:color w:val="000000"/>
                <w:sz w:val="18"/>
                <w:szCs w:val="21"/>
                <w:highlight w:val="none"/>
              </w:rPr>
            </w:pPr>
          </w:p>
        </w:tc>
      </w:tr>
      <w:tr w14:paraId="0845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E4575AD">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64B0CC3E">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E6BBF4">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36A7D98">
            <w:pPr>
              <w:tabs>
                <w:tab w:val="center" w:pos="4153"/>
                <w:tab w:val="right" w:pos="8306"/>
              </w:tabs>
              <w:snapToGrid w:val="0"/>
              <w:jc w:val="center"/>
              <w:rPr>
                <w:rFonts w:ascii="宋体" w:hAnsi="宋体"/>
                <w:color w:val="000000"/>
                <w:sz w:val="18"/>
                <w:szCs w:val="21"/>
                <w:highlight w:val="none"/>
              </w:rPr>
            </w:pPr>
          </w:p>
        </w:tc>
      </w:tr>
      <w:tr w14:paraId="642F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05E45AF7">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448A866B">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A2F1F8">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EC75104">
            <w:pPr>
              <w:tabs>
                <w:tab w:val="center" w:pos="4153"/>
                <w:tab w:val="right" w:pos="8306"/>
              </w:tabs>
              <w:snapToGrid w:val="0"/>
              <w:jc w:val="center"/>
              <w:rPr>
                <w:rFonts w:ascii="宋体" w:hAnsi="宋体"/>
                <w:color w:val="000000"/>
                <w:sz w:val="18"/>
                <w:szCs w:val="21"/>
                <w:highlight w:val="none"/>
              </w:rPr>
            </w:pPr>
          </w:p>
        </w:tc>
      </w:tr>
      <w:tr w14:paraId="498A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91084E4">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219AE9B3">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4CBE22C">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002C0">
            <w:pPr>
              <w:tabs>
                <w:tab w:val="center" w:pos="4153"/>
                <w:tab w:val="right" w:pos="8306"/>
              </w:tabs>
              <w:snapToGrid w:val="0"/>
              <w:jc w:val="center"/>
              <w:rPr>
                <w:rFonts w:ascii="宋体" w:hAnsi="宋体"/>
                <w:color w:val="000000"/>
                <w:sz w:val="18"/>
                <w:szCs w:val="21"/>
                <w:highlight w:val="none"/>
              </w:rPr>
            </w:pPr>
          </w:p>
        </w:tc>
      </w:tr>
      <w:tr w14:paraId="0AAD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25658CFF">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1E2E4422">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2C319DF">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7258501">
            <w:pPr>
              <w:tabs>
                <w:tab w:val="center" w:pos="4153"/>
                <w:tab w:val="right" w:pos="8306"/>
              </w:tabs>
              <w:snapToGrid w:val="0"/>
              <w:jc w:val="center"/>
              <w:rPr>
                <w:rFonts w:ascii="宋体" w:hAnsi="宋体"/>
                <w:color w:val="000000"/>
                <w:sz w:val="18"/>
                <w:szCs w:val="21"/>
                <w:highlight w:val="none"/>
              </w:rPr>
            </w:pPr>
          </w:p>
        </w:tc>
      </w:tr>
      <w:tr w14:paraId="25E7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33390856">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7F3AC8C5">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BFAE74">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FBA4462">
            <w:pPr>
              <w:tabs>
                <w:tab w:val="center" w:pos="4153"/>
                <w:tab w:val="right" w:pos="8306"/>
              </w:tabs>
              <w:snapToGrid w:val="0"/>
              <w:jc w:val="center"/>
              <w:rPr>
                <w:rFonts w:ascii="宋体" w:hAnsi="宋体"/>
                <w:color w:val="000000"/>
                <w:sz w:val="18"/>
                <w:szCs w:val="21"/>
                <w:highlight w:val="none"/>
              </w:rPr>
            </w:pPr>
          </w:p>
        </w:tc>
      </w:tr>
      <w:tr w14:paraId="44F0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72D763BE">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7DAB4EFE">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356B7E">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4600BA3">
            <w:pPr>
              <w:tabs>
                <w:tab w:val="center" w:pos="4153"/>
                <w:tab w:val="right" w:pos="8306"/>
              </w:tabs>
              <w:snapToGrid w:val="0"/>
              <w:jc w:val="center"/>
              <w:rPr>
                <w:rFonts w:ascii="宋体" w:hAnsi="宋体"/>
                <w:color w:val="000000"/>
                <w:sz w:val="18"/>
                <w:szCs w:val="21"/>
                <w:highlight w:val="none"/>
              </w:rPr>
            </w:pPr>
          </w:p>
        </w:tc>
      </w:tr>
      <w:tr w14:paraId="09A3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0DE58366">
            <w:pPr>
              <w:tabs>
                <w:tab w:val="center" w:pos="4153"/>
                <w:tab w:val="right" w:pos="8306"/>
              </w:tabs>
              <w:snapToGrid w:val="0"/>
              <w:jc w:val="center"/>
              <w:rPr>
                <w:rFonts w:ascii="宋体" w:hAnsi="宋体"/>
                <w:color w:val="000000"/>
                <w:sz w:val="18"/>
                <w:szCs w:val="21"/>
                <w:highlight w:val="none"/>
              </w:rPr>
            </w:pP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64883A03">
            <w:pPr>
              <w:tabs>
                <w:tab w:val="center" w:pos="4153"/>
                <w:tab w:val="right" w:pos="8306"/>
              </w:tabs>
              <w:snapToGrid w:val="0"/>
              <w:jc w:val="center"/>
              <w:rPr>
                <w:rFonts w:ascii="宋体" w:hAnsi="宋体"/>
                <w:color w:val="000000"/>
                <w:sz w:val="18"/>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266561B">
            <w:pPr>
              <w:tabs>
                <w:tab w:val="center" w:pos="4153"/>
                <w:tab w:val="right" w:pos="8306"/>
              </w:tabs>
              <w:snapToGrid w:val="0"/>
              <w:jc w:val="center"/>
              <w:rPr>
                <w:rFonts w:ascii="宋体" w:hAnsi="宋体"/>
                <w:color w:val="000000"/>
                <w:sz w:val="18"/>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B79D09">
            <w:pPr>
              <w:tabs>
                <w:tab w:val="center" w:pos="4153"/>
                <w:tab w:val="right" w:pos="8306"/>
              </w:tabs>
              <w:snapToGrid w:val="0"/>
              <w:jc w:val="center"/>
              <w:rPr>
                <w:rFonts w:ascii="宋体" w:hAnsi="宋体"/>
                <w:color w:val="000000"/>
                <w:sz w:val="18"/>
                <w:szCs w:val="21"/>
                <w:highlight w:val="none"/>
              </w:rPr>
            </w:pPr>
          </w:p>
        </w:tc>
      </w:tr>
    </w:tbl>
    <w:p w14:paraId="2BA667AC">
      <w:pPr>
        <w:rPr>
          <w:rFonts w:hint="eastAsia" w:ascii="宋体" w:hAnsi="宋体"/>
          <w:color w:val="000000"/>
          <w:szCs w:val="21"/>
          <w:highlight w:val="none"/>
        </w:rPr>
      </w:pPr>
    </w:p>
    <w:p w14:paraId="3CAC51D0">
      <w:pPr>
        <w:rPr>
          <w:rFonts w:hint="eastAsia" w:ascii="宋体" w:hAnsi="宋体"/>
          <w:color w:val="000000"/>
          <w:szCs w:val="21"/>
          <w:highlight w:val="none"/>
        </w:rPr>
      </w:pPr>
    </w:p>
    <w:p w14:paraId="0C72CAAA">
      <w:pPr>
        <w:rPr>
          <w:rFonts w:hint="eastAsia" w:ascii="宋体" w:hAnsi="宋体"/>
          <w:color w:val="000000"/>
          <w:szCs w:val="21"/>
          <w:highlight w:val="none"/>
        </w:rPr>
      </w:pPr>
    </w:p>
    <w:p w14:paraId="0574085D">
      <w:pPr>
        <w:rPr>
          <w:rFonts w:hint="eastAsia" w:ascii="宋体" w:hAnsi="宋体"/>
          <w:color w:val="000000"/>
          <w:szCs w:val="21"/>
          <w:highlight w:val="none"/>
        </w:rPr>
      </w:pPr>
    </w:p>
    <w:p w14:paraId="4AB0696B">
      <w:pPr>
        <w:rPr>
          <w:rFonts w:hint="eastAsia" w:ascii="宋体" w:hAnsi="宋体"/>
          <w:color w:val="000000"/>
          <w:szCs w:val="21"/>
          <w:highlight w:val="none"/>
        </w:rPr>
      </w:pPr>
    </w:p>
    <w:p w14:paraId="6404653E">
      <w:pPr>
        <w:rPr>
          <w:rFonts w:hint="eastAsia" w:ascii="宋体" w:hAnsi="宋体"/>
          <w:color w:val="000000"/>
          <w:szCs w:val="21"/>
          <w:highlight w:val="none"/>
        </w:rPr>
      </w:pPr>
    </w:p>
    <w:p w14:paraId="0FACD81C">
      <w:pPr>
        <w:rPr>
          <w:rFonts w:hint="eastAsia" w:ascii="宋体" w:hAnsi="宋体"/>
          <w:color w:val="000000"/>
          <w:szCs w:val="21"/>
          <w:highlight w:val="none"/>
        </w:rPr>
      </w:pPr>
    </w:p>
    <w:p w14:paraId="352214F2">
      <w:pPr>
        <w:rPr>
          <w:rFonts w:ascii="黑体" w:hAnsi="宋体" w:eastAsia="黑体"/>
          <w:color w:val="000000"/>
          <w:szCs w:val="21"/>
          <w:highlight w:val="none"/>
        </w:rPr>
      </w:pPr>
      <w:r>
        <w:rPr>
          <w:rFonts w:hint="eastAsia" w:ascii="黑体" w:hAnsi="宋体" w:eastAsia="黑体"/>
          <w:color w:val="000000"/>
          <w:szCs w:val="21"/>
          <w:highlight w:val="none"/>
        </w:rPr>
        <w:t>附3：承诺书</w:t>
      </w:r>
    </w:p>
    <w:p w14:paraId="0F2E6DCB">
      <w:pPr>
        <w:spacing w:before="312" w:beforeLines="100" w:after="312" w:afterLines="100"/>
        <w:jc w:val="center"/>
        <w:rPr>
          <w:rFonts w:hint="eastAsia" w:ascii="黑体" w:hAnsi="宋体" w:eastAsia="黑体"/>
          <w:color w:val="000000"/>
          <w:sz w:val="28"/>
          <w:szCs w:val="28"/>
          <w:highlight w:val="none"/>
        </w:rPr>
      </w:pPr>
      <w:r>
        <w:rPr>
          <w:rFonts w:hint="eastAsia" w:ascii="黑体" w:hAnsi="宋体" w:eastAsia="黑体"/>
          <w:color w:val="000000"/>
          <w:sz w:val="28"/>
          <w:szCs w:val="28"/>
          <w:highlight w:val="none"/>
        </w:rPr>
        <w:t>承诺书</w:t>
      </w:r>
    </w:p>
    <w:p w14:paraId="124D4501">
      <w:pPr>
        <w:spacing w:after="312" w:afterLines="100" w:line="440" w:lineRule="exact"/>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（招标人名称）：</w:t>
      </w:r>
    </w:p>
    <w:p w14:paraId="7A335848">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我方在此声明，我方拟派往</w:t>
      </w:r>
      <w:r>
        <w:rPr>
          <w:rFonts w:hint="eastAsia" w:ascii="宋体" w:hAnsi="宋体"/>
          <w:color w:val="000000"/>
          <w:szCs w:val="21"/>
          <w:highlight w:val="none"/>
          <w:u w:val="single"/>
        </w:rPr>
        <w:t xml:space="preserve">        </w:t>
      </w:r>
      <w:r>
        <w:rPr>
          <w:rFonts w:hint="eastAsia" w:ascii="宋体" w:hAnsi="宋体"/>
          <w:color w:val="000000"/>
          <w:szCs w:val="21"/>
          <w:highlight w:val="none"/>
        </w:rPr>
        <w:t>（项目名称）（以下简称“本工程”）的项目经理</w:t>
      </w:r>
      <w:r>
        <w:rPr>
          <w:rFonts w:hint="eastAsia" w:ascii="宋体" w:hAnsi="宋体"/>
          <w:color w:val="000000"/>
          <w:szCs w:val="21"/>
          <w:highlight w:val="none"/>
          <w:u w:val="single"/>
        </w:rPr>
        <w:t xml:space="preserve">           </w:t>
      </w:r>
      <w:r>
        <w:rPr>
          <w:rFonts w:hint="eastAsia" w:ascii="宋体" w:hAnsi="宋体"/>
          <w:color w:val="000000"/>
          <w:szCs w:val="21"/>
          <w:highlight w:val="none"/>
        </w:rPr>
        <w:t>（项目经理姓名）现阶段没有担任任何在施建设工程项目的项目经理。</w:t>
      </w:r>
    </w:p>
    <w:p w14:paraId="44C4FE2E">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我方保证上述信息的真实和准确，并愿意承担因我方就此弄虚作假所引起的一切法律后果。</w:t>
      </w:r>
    </w:p>
    <w:p w14:paraId="363EF79E">
      <w:pPr>
        <w:spacing w:line="440" w:lineRule="exact"/>
        <w:ind w:firstLine="420" w:firstLineChars="200"/>
        <w:rPr>
          <w:rFonts w:hint="eastAsia" w:ascii="宋体" w:hAnsi="宋体"/>
          <w:color w:val="000000"/>
          <w:szCs w:val="21"/>
          <w:highlight w:val="none"/>
        </w:rPr>
      </w:pPr>
    </w:p>
    <w:p w14:paraId="741A2AE5">
      <w:pPr>
        <w:spacing w:line="440" w:lineRule="exact"/>
        <w:ind w:firstLine="420" w:firstLineChars="200"/>
        <w:rPr>
          <w:rFonts w:hint="eastAsia" w:ascii="宋体" w:hAnsi="宋体"/>
          <w:color w:val="000000"/>
          <w:szCs w:val="21"/>
          <w:highlight w:val="none"/>
        </w:rPr>
      </w:pPr>
    </w:p>
    <w:p w14:paraId="04F23196">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特此承诺</w:t>
      </w:r>
    </w:p>
    <w:p w14:paraId="7E1BA3D6">
      <w:pPr>
        <w:spacing w:line="440" w:lineRule="exact"/>
        <w:ind w:firstLine="420" w:firstLineChars="200"/>
        <w:rPr>
          <w:rFonts w:hint="eastAsia" w:ascii="宋体" w:hAnsi="宋体"/>
          <w:color w:val="000000"/>
          <w:szCs w:val="21"/>
          <w:highlight w:val="none"/>
        </w:rPr>
      </w:pPr>
    </w:p>
    <w:p w14:paraId="71758686">
      <w:pPr>
        <w:spacing w:line="440" w:lineRule="exact"/>
        <w:ind w:firstLine="420" w:firstLineChars="200"/>
        <w:rPr>
          <w:rFonts w:hint="eastAsia" w:ascii="宋体" w:hAnsi="宋体"/>
          <w:color w:val="000000"/>
          <w:szCs w:val="21"/>
          <w:highlight w:val="none"/>
        </w:rPr>
      </w:pPr>
    </w:p>
    <w:p w14:paraId="2A4938F4">
      <w:pPr>
        <w:spacing w:line="440" w:lineRule="exact"/>
        <w:ind w:firstLine="420" w:firstLineChars="200"/>
        <w:rPr>
          <w:rFonts w:hint="eastAsia" w:ascii="宋体" w:hAnsi="宋体"/>
          <w:color w:val="000000"/>
          <w:szCs w:val="21"/>
          <w:highlight w:val="none"/>
        </w:rPr>
      </w:pPr>
    </w:p>
    <w:p w14:paraId="69298E99">
      <w:pPr>
        <w:spacing w:line="440" w:lineRule="exact"/>
        <w:ind w:firstLine="420" w:firstLineChars="200"/>
        <w:rPr>
          <w:rFonts w:hint="eastAsia" w:ascii="宋体" w:hAnsi="宋体"/>
          <w:color w:val="000000"/>
          <w:szCs w:val="21"/>
          <w:highlight w:val="none"/>
        </w:rPr>
      </w:pPr>
    </w:p>
    <w:p w14:paraId="3EEAAA0E">
      <w:pPr>
        <w:spacing w:line="440" w:lineRule="exact"/>
        <w:ind w:firstLine="420" w:firstLineChars="200"/>
        <w:rPr>
          <w:rFonts w:hint="eastAsia" w:ascii="宋体" w:hAnsi="宋体"/>
          <w:color w:val="000000"/>
          <w:szCs w:val="21"/>
          <w:highlight w:val="none"/>
        </w:rPr>
      </w:pPr>
    </w:p>
    <w:p w14:paraId="1848E4EB">
      <w:pPr>
        <w:spacing w:line="440" w:lineRule="exact"/>
        <w:ind w:firstLine="420" w:firstLineChars="200"/>
        <w:rPr>
          <w:rFonts w:hint="eastAsia" w:ascii="宋体" w:hAnsi="宋体"/>
          <w:color w:val="000000"/>
          <w:szCs w:val="21"/>
          <w:highlight w:val="none"/>
        </w:rPr>
      </w:pPr>
    </w:p>
    <w:p w14:paraId="05E7559E">
      <w:pPr>
        <w:spacing w:line="440" w:lineRule="exact"/>
        <w:jc w:val="right"/>
        <w:rPr>
          <w:rFonts w:hint="eastAsia" w:ascii="宋体" w:hAns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（电子签章）</w:t>
      </w:r>
    </w:p>
    <w:p w14:paraId="6FC5915E">
      <w:pPr>
        <w:spacing w:line="440" w:lineRule="exact"/>
        <w:ind w:right="840"/>
        <w:jc w:val="center"/>
        <w:rPr>
          <w:rFonts w:hint="eastAsia" w:ascii="宋体" w:hAnsi="宋体"/>
          <w:color w:val="000000"/>
          <w:szCs w:val="21"/>
          <w:highlight w:val="none"/>
        </w:rPr>
      </w:pPr>
      <w:r>
        <w:rPr>
          <w:rFonts w:hint="eastAsia" w:ascii="宋体" w:hAnsi="宋体"/>
          <w:color w:val="000000"/>
          <w:szCs w:val="21"/>
          <w:highlight w:val="none"/>
        </w:rPr>
        <w:t xml:space="preserve">                              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（电子签章）</w:t>
      </w:r>
    </w:p>
    <w:p w14:paraId="1C792227">
      <w:pPr>
        <w:spacing w:line="440" w:lineRule="exact"/>
        <w:jc w:val="right"/>
        <w:rPr>
          <w:rFonts w:hint="eastAsia" w:ascii="宋体" w:hAnsi="宋体"/>
          <w:color w:val="000000"/>
          <w:szCs w:val="21"/>
          <w:highlight w:val="none"/>
        </w:rPr>
      </w:pPr>
    </w:p>
    <w:p w14:paraId="533BA216">
      <w:pPr>
        <w:spacing w:line="440" w:lineRule="exact"/>
        <w:jc w:val="right"/>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0274C28F">
      <w:pPr>
        <w:spacing w:before="156" w:beforeLines="50" w:after="312" w:afterLines="100" w:line="440" w:lineRule="exact"/>
        <w:ind w:right="420"/>
        <w:outlineLvl w:val="0"/>
        <w:rPr>
          <w:rFonts w:hint="eastAsia" w:ascii="宋体" w:hAnsi="宋体"/>
          <w:color w:val="000000"/>
          <w:szCs w:val="21"/>
          <w:highlight w:val="none"/>
        </w:rPr>
      </w:pPr>
    </w:p>
    <w:p w14:paraId="26A2DADC">
      <w:pPr>
        <w:spacing w:before="156" w:beforeLines="50" w:after="312" w:afterLines="100" w:line="440" w:lineRule="exact"/>
        <w:ind w:right="420"/>
        <w:outlineLvl w:val="0"/>
        <w:rPr>
          <w:rFonts w:hint="eastAsia" w:ascii="宋体" w:hAnsi="宋体"/>
          <w:color w:val="000000"/>
          <w:szCs w:val="21"/>
          <w:highlight w:val="none"/>
        </w:rPr>
      </w:pPr>
    </w:p>
    <w:p w14:paraId="3DEC39EF">
      <w:pPr>
        <w:spacing w:before="156" w:beforeLines="50" w:after="312" w:afterLines="100" w:line="440" w:lineRule="exact"/>
        <w:ind w:right="420"/>
        <w:outlineLvl w:val="0"/>
        <w:rPr>
          <w:rFonts w:hint="eastAsia" w:ascii="宋体" w:hAnsi="宋体"/>
          <w:color w:val="000000"/>
          <w:szCs w:val="21"/>
          <w:highlight w:val="none"/>
        </w:rPr>
      </w:pPr>
    </w:p>
    <w:p w14:paraId="3B44C3B6">
      <w:pPr>
        <w:spacing w:before="156" w:beforeLines="50" w:after="312" w:afterLines="100" w:line="440" w:lineRule="exact"/>
        <w:ind w:right="420"/>
        <w:outlineLvl w:val="0"/>
        <w:rPr>
          <w:rFonts w:hint="eastAsia" w:ascii="宋体" w:hAnsi="宋体"/>
          <w:color w:val="000000"/>
          <w:szCs w:val="21"/>
          <w:highlight w:val="none"/>
        </w:rPr>
      </w:pPr>
    </w:p>
    <w:p w14:paraId="7C635504">
      <w:pPr>
        <w:spacing w:before="156" w:beforeLines="50" w:after="312" w:afterLines="100" w:line="440" w:lineRule="exact"/>
        <w:ind w:right="420"/>
        <w:outlineLvl w:val="0"/>
        <w:rPr>
          <w:rFonts w:hint="eastAsia" w:ascii="宋体" w:hAnsi="宋体"/>
          <w:color w:val="000000"/>
          <w:szCs w:val="21"/>
          <w:highlight w:val="none"/>
        </w:rPr>
      </w:pPr>
    </w:p>
    <w:p w14:paraId="1786D3D6">
      <w:pPr>
        <w:spacing w:before="312" w:beforeLines="100" w:after="156" w:afterLines="50"/>
        <w:jc w:val="center"/>
        <w:outlineLvl w:val="0"/>
        <w:rPr>
          <w:rFonts w:hint="eastAsia" w:ascii="黑体" w:hAnsi="宋体" w:eastAsia="黑体"/>
          <w:color w:val="000000"/>
          <w:sz w:val="28"/>
          <w:szCs w:val="28"/>
          <w:highlight w:val="none"/>
        </w:rPr>
      </w:pPr>
      <w:bookmarkStart w:id="942" w:name="_Toc149833969"/>
      <w:bookmarkStart w:id="943" w:name="_Toc155799790"/>
      <w:r>
        <w:rPr>
          <w:rFonts w:hint="eastAsia" w:ascii="黑体" w:hAnsi="宋体" w:eastAsia="黑体"/>
          <w:color w:val="000000"/>
          <w:sz w:val="28"/>
          <w:szCs w:val="28"/>
          <w:highlight w:val="none"/>
        </w:rPr>
        <w:t>八、施工组织设计</w:t>
      </w:r>
      <w:bookmarkEnd w:id="942"/>
      <w:bookmarkEnd w:id="943"/>
    </w:p>
    <w:p w14:paraId="71F3C443">
      <w:pPr>
        <w:tabs>
          <w:tab w:val="left" w:pos="720"/>
        </w:tabs>
        <w:spacing w:line="440" w:lineRule="exact"/>
        <w:ind w:firstLine="420" w:firstLineChars="200"/>
        <w:rPr>
          <w:rFonts w:hint="eastAsia"/>
          <w:color w:val="000000"/>
          <w:szCs w:val="21"/>
          <w:highlight w:val="none"/>
        </w:rPr>
      </w:pPr>
      <w:r>
        <w:rPr>
          <w:color w:val="000000"/>
          <w:szCs w:val="21"/>
          <w:highlight w:val="none"/>
        </w:rPr>
        <w:t xml:space="preserve">1. </w:t>
      </w:r>
      <w:r>
        <w:rPr>
          <w:color w:val="000000"/>
          <w:szCs w:val="21"/>
          <w:highlight w:val="none"/>
        </w:rPr>
        <w:tab/>
      </w:r>
      <w:r>
        <w:rPr>
          <w:rFonts w:hint="eastAsia"/>
          <w:color w:val="000000"/>
          <w:szCs w:val="21"/>
          <w:highlight w:val="none"/>
        </w:rPr>
        <w:t>投标人编制施工组织设计的要求：编制时应采用文字并结合图表形式说明施工方法；拟投入本标段的主要施工设备情况、拟配备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096F85B">
      <w:pPr>
        <w:tabs>
          <w:tab w:val="left" w:pos="720"/>
        </w:tabs>
        <w:spacing w:line="440" w:lineRule="exact"/>
        <w:ind w:firstLine="420" w:firstLineChars="200"/>
        <w:rPr>
          <w:color w:val="000000"/>
          <w:szCs w:val="21"/>
          <w:highlight w:val="none"/>
        </w:rPr>
      </w:pPr>
      <w:r>
        <w:rPr>
          <w:color w:val="000000"/>
          <w:szCs w:val="21"/>
          <w:highlight w:val="none"/>
        </w:rPr>
        <w:t xml:space="preserve">2. </w:t>
      </w:r>
      <w:r>
        <w:rPr>
          <w:color w:val="000000"/>
          <w:szCs w:val="21"/>
          <w:highlight w:val="none"/>
        </w:rPr>
        <w:tab/>
      </w:r>
      <w:r>
        <w:rPr>
          <w:rFonts w:hint="eastAsia"/>
          <w:color w:val="000000"/>
          <w:szCs w:val="21"/>
          <w:highlight w:val="none"/>
        </w:rPr>
        <w:t>施工组织设计除采用文字表述外可附下列图表，图表及格式要求附后。</w:t>
      </w:r>
    </w:p>
    <w:p w14:paraId="453304BC">
      <w:pPr>
        <w:tabs>
          <w:tab w:val="left" w:pos="720"/>
        </w:tabs>
        <w:spacing w:line="440" w:lineRule="exact"/>
        <w:ind w:firstLine="756" w:firstLineChars="360"/>
        <w:rPr>
          <w:color w:val="000000"/>
          <w:szCs w:val="21"/>
          <w:highlight w:val="none"/>
        </w:rPr>
      </w:pPr>
      <w:r>
        <w:rPr>
          <w:rFonts w:hint="eastAsia"/>
          <w:color w:val="000000"/>
          <w:szCs w:val="21"/>
          <w:highlight w:val="none"/>
        </w:rPr>
        <w:t>附表一</w:t>
      </w:r>
      <w:r>
        <w:rPr>
          <w:color w:val="000000"/>
          <w:szCs w:val="21"/>
          <w:highlight w:val="none"/>
        </w:rPr>
        <w:t xml:space="preserve">  </w:t>
      </w:r>
      <w:r>
        <w:rPr>
          <w:rFonts w:hint="eastAsia"/>
          <w:color w:val="000000"/>
          <w:szCs w:val="21"/>
          <w:highlight w:val="none"/>
        </w:rPr>
        <w:t>拟投入的主要施工设备表</w:t>
      </w:r>
    </w:p>
    <w:p w14:paraId="072FCE68">
      <w:pPr>
        <w:tabs>
          <w:tab w:val="left" w:pos="720"/>
        </w:tabs>
        <w:spacing w:line="440" w:lineRule="exact"/>
        <w:ind w:firstLine="756" w:firstLineChars="360"/>
        <w:rPr>
          <w:color w:val="000000"/>
          <w:szCs w:val="21"/>
          <w:highlight w:val="none"/>
        </w:rPr>
      </w:pPr>
      <w:r>
        <w:rPr>
          <w:rFonts w:hint="eastAsia"/>
          <w:color w:val="000000"/>
          <w:szCs w:val="21"/>
          <w:highlight w:val="none"/>
        </w:rPr>
        <w:t>附表二</w:t>
      </w:r>
      <w:r>
        <w:rPr>
          <w:color w:val="000000"/>
          <w:szCs w:val="21"/>
          <w:highlight w:val="none"/>
        </w:rPr>
        <w:t xml:space="preserve">  </w:t>
      </w:r>
      <w:r>
        <w:rPr>
          <w:rFonts w:hint="eastAsia"/>
          <w:color w:val="000000"/>
          <w:szCs w:val="21"/>
          <w:highlight w:val="none"/>
        </w:rPr>
        <w:t>拟配备的试验和检测仪器设备表</w:t>
      </w:r>
    </w:p>
    <w:p w14:paraId="58DB5395">
      <w:pPr>
        <w:tabs>
          <w:tab w:val="left" w:pos="720"/>
        </w:tabs>
        <w:spacing w:line="440" w:lineRule="exact"/>
        <w:ind w:firstLine="756" w:firstLineChars="360"/>
        <w:rPr>
          <w:color w:val="000000"/>
          <w:szCs w:val="21"/>
          <w:highlight w:val="none"/>
        </w:rPr>
      </w:pPr>
      <w:r>
        <w:rPr>
          <w:rFonts w:hint="eastAsia"/>
          <w:color w:val="000000"/>
          <w:szCs w:val="21"/>
          <w:highlight w:val="none"/>
        </w:rPr>
        <w:t>附表三</w:t>
      </w:r>
      <w:r>
        <w:rPr>
          <w:color w:val="000000"/>
          <w:szCs w:val="21"/>
          <w:highlight w:val="none"/>
        </w:rPr>
        <w:t xml:space="preserve">  </w:t>
      </w:r>
      <w:r>
        <w:rPr>
          <w:rFonts w:hint="eastAsia"/>
          <w:color w:val="000000"/>
          <w:szCs w:val="21"/>
          <w:highlight w:val="none"/>
        </w:rPr>
        <w:t>劳动力计划表</w:t>
      </w:r>
    </w:p>
    <w:p w14:paraId="6DC0F4D1">
      <w:pPr>
        <w:tabs>
          <w:tab w:val="left" w:pos="720"/>
        </w:tabs>
        <w:spacing w:line="440" w:lineRule="exact"/>
        <w:ind w:firstLine="756" w:firstLineChars="360"/>
        <w:rPr>
          <w:color w:val="000000"/>
          <w:szCs w:val="21"/>
          <w:highlight w:val="none"/>
        </w:rPr>
      </w:pPr>
      <w:r>
        <w:rPr>
          <w:rFonts w:hint="eastAsia"/>
          <w:color w:val="000000"/>
          <w:szCs w:val="21"/>
          <w:highlight w:val="none"/>
        </w:rPr>
        <w:t>附表四</w:t>
      </w:r>
      <w:r>
        <w:rPr>
          <w:color w:val="000000"/>
          <w:szCs w:val="21"/>
          <w:highlight w:val="none"/>
        </w:rPr>
        <w:t xml:space="preserve">  </w:t>
      </w:r>
      <w:r>
        <w:rPr>
          <w:rFonts w:hint="eastAsia"/>
          <w:color w:val="000000"/>
          <w:szCs w:val="21"/>
          <w:highlight w:val="none"/>
        </w:rPr>
        <w:t>计划开、</w:t>
      </w:r>
      <w:r>
        <w:rPr>
          <w:rFonts w:hint="eastAsia"/>
          <w:color w:val="000000"/>
          <w:highlight w:val="none"/>
        </w:rPr>
        <w:t>竣工</w:t>
      </w:r>
      <w:r>
        <w:rPr>
          <w:rFonts w:hint="eastAsia"/>
          <w:color w:val="000000"/>
          <w:szCs w:val="21"/>
          <w:highlight w:val="none"/>
        </w:rPr>
        <w:t>日期和施工进度网络图</w:t>
      </w:r>
    </w:p>
    <w:p w14:paraId="490C4DC7">
      <w:pPr>
        <w:tabs>
          <w:tab w:val="left" w:pos="720"/>
        </w:tabs>
        <w:spacing w:line="440" w:lineRule="exact"/>
        <w:ind w:firstLine="756" w:firstLineChars="360"/>
        <w:rPr>
          <w:color w:val="000000"/>
          <w:szCs w:val="21"/>
          <w:highlight w:val="none"/>
        </w:rPr>
      </w:pPr>
      <w:r>
        <w:rPr>
          <w:rFonts w:hint="eastAsia"/>
          <w:color w:val="000000"/>
          <w:szCs w:val="21"/>
          <w:highlight w:val="none"/>
        </w:rPr>
        <w:t>附表五</w:t>
      </w:r>
      <w:r>
        <w:rPr>
          <w:color w:val="000000"/>
          <w:szCs w:val="21"/>
          <w:highlight w:val="none"/>
        </w:rPr>
        <w:t xml:space="preserve">  </w:t>
      </w:r>
      <w:r>
        <w:rPr>
          <w:rFonts w:hint="eastAsia"/>
          <w:color w:val="000000"/>
          <w:szCs w:val="21"/>
          <w:highlight w:val="none"/>
        </w:rPr>
        <w:t>施工总平面图</w:t>
      </w:r>
    </w:p>
    <w:p w14:paraId="6CCD1BBF">
      <w:pPr>
        <w:tabs>
          <w:tab w:val="left" w:pos="720"/>
        </w:tabs>
        <w:spacing w:line="440" w:lineRule="exact"/>
        <w:ind w:firstLine="756" w:firstLineChars="360"/>
        <w:rPr>
          <w:color w:val="000000"/>
          <w:szCs w:val="21"/>
          <w:highlight w:val="none"/>
        </w:rPr>
      </w:pPr>
      <w:r>
        <w:rPr>
          <w:rFonts w:hint="eastAsia"/>
          <w:color w:val="000000"/>
          <w:szCs w:val="21"/>
          <w:highlight w:val="none"/>
        </w:rPr>
        <w:t>附表六</w:t>
      </w:r>
      <w:r>
        <w:rPr>
          <w:color w:val="000000"/>
          <w:szCs w:val="21"/>
          <w:highlight w:val="none"/>
        </w:rPr>
        <w:t xml:space="preserve">  </w:t>
      </w:r>
      <w:r>
        <w:rPr>
          <w:rFonts w:hint="eastAsia"/>
          <w:color w:val="000000"/>
          <w:szCs w:val="21"/>
          <w:highlight w:val="none"/>
        </w:rPr>
        <w:t>临时用地表</w:t>
      </w:r>
    </w:p>
    <w:p w14:paraId="019FA649">
      <w:pPr>
        <w:spacing w:line="420" w:lineRule="exact"/>
        <w:ind w:firstLine="420" w:firstLineChars="200"/>
        <w:rPr>
          <w:rFonts w:ascii="宋体" w:hAnsi="宋体"/>
          <w:color w:val="000000"/>
          <w:szCs w:val="21"/>
          <w:highlight w:val="none"/>
        </w:rPr>
      </w:pPr>
    </w:p>
    <w:p w14:paraId="066A2FB6">
      <w:pPr>
        <w:spacing w:line="420" w:lineRule="exact"/>
        <w:ind w:firstLine="420" w:firstLineChars="200"/>
        <w:rPr>
          <w:rFonts w:hint="eastAsia" w:ascii="宋体" w:hAnsi="宋体"/>
          <w:color w:val="000000"/>
          <w:szCs w:val="21"/>
          <w:highlight w:val="none"/>
        </w:rPr>
      </w:pPr>
    </w:p>
    <w:p w14:paraId="7B2E3D68">
      <w:pPr>
        <w:spacing w:line="420" w:lineRule="exact"/>
        <w:ind w:firstLine="420" w:firstLineChars="200"/>
        <w:rPr>
          <w:rFonts w:hint="eastAsia" w:ascii="宋体" w:hAnsi="宋体"/>
          <w:color w:val="000000"/>
          <w:szCs w:val="21"/>
          <w:highlight w:val="none"/>
        </w:rPr>
      </w:pPr>
    </w:p>
    <w:p w14:paraId="215551BD">
      <w:pPr>
        <w:spacing w:line="420" w:lineRule="exact"/>
        <w:ind w:firstLine="420" w:firstLineChars="200"/>
        <w:rPr>
          <w:rFonts w:hint="eastAsia" w:ascii="宋体" w:hAnsi="宋体"/>
          <w:color w:val="000000"/>
          <w:szCs w:val="21"/>
          <w:highlight w:val="none"/>
        </w:rPr>
      </w:pPr>
    </w:p>
    <w:p w14:paraId="075A299B">
      <w:pPr>
        <w:spacing w:line="420" w:lineRule="exact"/>
        <w:ind w:firstLine="420" w:firstLineChars="200"/>
        <w:rPr>
          <w:rFonts w:hint="eastAsia" w:ascii="宋体" w:hAnsi="宋体"/>
          <w:color w:val="000000"/>
          <w:szCs w:val="21"/>
          <w:highlight w:val="none"/>
        </w:rPr>
      </w:pPr>
    </w:p>
    <w:p w14:paraId="42753B2F">
      <w:pPr>
        <w:spacing w:line="420" w:lineRule="exact"/>
        <w:ind w:firstLine="420" w:firstLineChars="200"/>
        <w:rPr>
          <w:rFonts w:hint="eastAsia" w:ascii="宋体" w:hAnsi="宋体"/>
          <w:color w:val="000000"/>
          <w:szCs w:val="21"/>
          <w:highlight w:val="none"/>
        </w:rPr>
      </w:pPr>
    </w:p>
    <w:p w14:paraId="7B672F7F">
      <w:pPr>
        <w:spacing w:line="420" w:lineRule="exact"/>
        <w:ind w:firstLine="420" w:firstLineChars="200"/>
        <w:rPr>
          <w:rFonts w:hint="eastAsia" w:ascii="宋体" w:hAnsi="宋体"/>
          <w:color w:val="000000"/>
          <w:szCs w:val="21"/>
          <w:highlight w:val="none"/>
        </w:rPr>
      </w:pPr>
    </w:p>
    <w:p w14:paraId="4740765F">
      <w:pPr>
        <w:spacing w:line="420" w:lineRule="exact"/>
        <w:ind w:firstLine="420" w:firstLineChars="200"/>
        <w:rPr>
          <w:rFonts w:hint="eastAsia" w:ascii="宋体" w:hAnsi="宋体"/>
          <w:color w:val="000000"/>
          <w:szCs w:val="21"/>
          <w:highlight w:val="none"/>
        </w:rPr>
      </w:pPr>
    </w:p>
    <w:p w14:paraId="532BF22D">
      <w:pPr>
        <w:spacing w:line="420" w:lineRule="exact"/>
        <w:ind w:firstLine="420" w:firstLineChars="200"/>
        <w:rPr>
          <w:rFonts w:hint="eastAsia" w:ascii="宋体" w:hAnsi="宋体"/>
          <w:color w:val="000000"/>
          <w:szCs w:val="21"/>
          <w:highlight w:val="none"/>
        </w:rPr>
      </w:pPr>
    </w:p>
    <w:p w14:paraId="50F31125">
      <w:pPr>
        <w:spacing w:line="420" w:lineRule="exact"/>
        <w:ind w:firstLine="420" w:firstLineChars="200"/>
        <w:rPr>
          <w:rFonts w:hint="eastAsia" w:ascii="宋体" w:hAnsi="宋体"/>
          <w:color w:val="000000"/>
          <w:szCs w:val="21"/>
          <w:highlight w:val="none"/>
        </w:rPr>
      </w:pPr>
    </w:p>
    <w:p w14:paraId="2927A209">
      <w:pPr>
        <w:spacing w:line="420" w:lineRule="exact"/>
        <w:ind w:firstLine="420" w:firstLineChars="200"/>
        <w:rPr>
          <w:rFonts w:hint="eastAsia" w:ascii="宋体" w:hAnsi="宋体"/>
          <w:color w:val="000000"/>
          <w:szCs w:val="21"/>
          <w:highlight w:val="none"/>
        </w:rPr>
      </w:pPr>
    </w:p>
    <w:p w14:paraId="102B4920">
      <w:pPr>
        <w:spacing w:line="420" w:lineRule="exact"/>
        <w:ind w:firstLine="420" w:firstLineChars="200"/>
        <w:rPr>
          <w:rFonts w:hint="eastAsia" w:ascii="宋体" w:hAnsi="宋体"/>
          <w:color w:val="000000"/>
          <w:szCs w:val="21"/>
          <w:highlight w:val="none"/>
        </w:rPr>
      </w:pPr>
    </w:p>
    <w:p w14:paraId="506704ED">
      <w:pPr>
        <w:spacing w:line="420" w:lineRule="exact"/>
        <w:ind w:firstLine="420" w:firstLineChars="200"/>
        <w:rPr>
          <w:rFonts w:hint="eastAsia" w:ascii="宋体" w:hAnsi="宋体"/>
          <w:color w:val="000000"/>
          <w:szCs w:val="21"/>
          <w:highlight w:val="none"/>
        </w:rPr>
      </w:pPr>
    </w:p>
    <w:p w14:paraId="41A3DC38">
      <w:pPr>
        <w:spacing w:line="420" w:lineRule="exact"/>
        <w:ind w:firstLine="420" w:firstLineChars="200"/>
        <w:rPr>
          <w:rFonts w:hint="eastAsia" w:ascii="宋体" w:hAnsi="宋体"/>
          <w:color w:val="000000"/>
          <w:szCs w:val="21"/>
          <w:highlight w:val="none"/>
        </w:rPr>
      </w:pPr>
    </w:p>
    <w:p w14:paraId="7046F8AF">
      <w:pPr>
        <w:spacing w:line="420" w:lineRule="exact"/>
        <w:ind w:firstLine="420" w:firstLineChars="200"/>
        <w:rPr>
          <w:rFonts w:hint="eastAsia" w:ascii="宋体" w:hAnsi="宋体"/>
          <w:color w:val="000000"/>
          <w:szCs w:val="21"/>
          <w:highlight w:val="none"/>
        </w:rPr>
      </w:pPr>
    </w:p>
    <w:p w14:paraId="70FC8547">
      <w:pPr>
        <w:spacing w:line="420" w:lineRule="exact"/>
        <w:ind w:firstLine="420" w:firstLineChars="200"/>
        <w:rPr>
          <w:rFonts w:hint="eastAsia" w:ascii="宋体" w:hAnsi="宋体"/>
          <w:color w:val="000000"/>
          <w:szCs w:val="21"/>
          <w:highlight w:val="none"/>
        </w:rPr>
      </w:pPr>
    </w:p>
    <w:p w14:paraId="3CCE8CBA">
      <w:pPr>
        <w:spacing w:line="420" w:lineRule="exact"/>
        <w:ind w:firstLine="420" w:firstLineChars="200"/>
        <w:rPr>
          <w:rFonts w:hint="eastAsia" w:ascii="宋体" w:hAnsi="宋体"/>
          <w:color w:val="000000"/>
          <w:szCs w:val="21"/>
          <w:highlight w:val="none"/>
        </w:rPr>
      </w:pPr>
    </w:p>
    <w:p w14:paraId="2F0AEAB6">
      <w:pPr>
        <w:spacing w:line="420" w:lineRule="exact"/>
        <w:ind w:firstLine="420" w:firstLineChars="200"/>
        <w:rPr>
          <w:rFonts w:hint="eastAsia" w:ascii="宋体" w:hAnsi="宋体"/>
          <w:color w:val="000000"/>
          <w:szCs w:val="21"/>
          <w:highlight w:val="none"/>
        </w:rPr>
      </w:pPr>
    </w:p>
    <w:p w14:paraId="71BAF255">
      <w:pPr>
        <w:spacing w:before="156" w:beforeLines="50" w:after="312" w:afterLines="100" w:line="420" w:lineRule="exact"/>
        <w:rPr>
          <w:rFonts w:hint="eastAsia" w:ascii="黑体" w:hAnsi="宋体" w:eastAsia="黑体"/>
          <w:color w:val="000000"/>
          <w:sz w:val="24"/>
          <w:highlight w:val="none"/>
        </w:rPr>
      </w:pPr>
      <w:r>
        <w:rPr>
          <w:rFonts w:hint="eastAsia" w:ascii="黑体" w:hAnsi="宋体" w:eastAsia="黑体"/>
          <w:color w:val="000000"/>
          <w:sz w:val="24"/>
          <w:highlight w:val="none"/>
        </w:rPr>
        <w:t>附表一：拟投入本工程的主要施工设备表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3786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A0C053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序号</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336A5CC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设备名称</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3A1420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型号</w:t>
            </w:r>
          </w:p>
          <w:p w14:paraId="5A2228A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规格</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270406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数  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C1C64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国别</w:t>
            </w:r>
          </w:p>
          <w:p w14:paraId="0DB841F5">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产地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3B9AD4">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制造</w:t>
            </w:r>
          </w:p>
          <w:p w14:paraId="67AA93C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年份</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BD81F4F">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额定功率</w:t>
            </w:r>
          </w:p>
          <w:p w14:paraId="28196C8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（KW）</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689C0C21">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生产</w:t>
            </w:r>
          </w:p>
          <w:p w14:paraId="23E7EDE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能力</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314AF4A9">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用于施</w:t>
            </w:r>
          </w:p>
          <w:p w14:paraId="1E3301AA">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工部位</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EE1F339">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备注</w:t>
            </w:r>
          </w:p>
        </w:tc>
      </w:tr>
      <w:tr w14:paraId="3E91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087FAA3">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65E75C6">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69BCF59">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621AA7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795432">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B37B33">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21375B4">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672B3BA8">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51C1B881">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7D5030">
            <w:pPr>
              <w:tabs>
                <w:tab w:val="center" w:pos="4153"/>
                <w:tab w:val="right" w:pos="8306"/>
              </w:tabs>
              <w:snapToGrid w:val="0"/>
              <w:jc w:val="center"/>
              <w:rPr>
                <w:rFonts w:ascii="宋体" w:hAnsi="宋体"/>
                <w:color w:val="000000"/>
                <w:sz w:val="18"/>
                <w:szCs w:val="21"/>
                <w:highlight w:val="none"/>
              </w:rPr>
            </w:pPr>
          </w:p>
        </w:tc>
      </w:tr>
      <w:tr w14:paraId="7B0D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78C7B52">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FB4F401">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C42A5C3">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F7D0B35">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41BAC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852D87">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E8EBFAD">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86767D1">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04356EE1">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294933">
            <w:pPr>
              <w:tabs>
                <w:tab w:val="center" w:pos="4153"/>
                <w:tab w:val="right" w:pos="8306"/>
              </w:tabs>
              <w:snapToGrid w:val="0"/>
              <w:jc w:val="center"/>
              <w:rPr>
                <w:rFonts w:ascii="宋体" w:hAnsi="宋体"/>
                <w:color w:val="000000"/>
                <w:sz w:val="18"/>
                <w:szCs w:val="21"/>
                <w:highlight w:val="none"/>
              </w:rPr>
            </w:pPr>
          </w:p>
        </w:tc>
      </w:tr>
      <w:tr w14:paraId="6D26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7A637E1D">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594390D">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7A4EE9E">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0442C68">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229E1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A00B30">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FA2F1E3">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1A62DDB">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021A45A">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9023839">
            <w:pPr>
              <w:tabs>
                <w:tab w:val="center" w:pos="4153"/>
                <w:tab w:val="right" w:pos="8306"/>
              </w:tabs>
              <w:snapToGrid w:val="0"/>
              <w:jc w:val="center"/>
              <w:rPr>
                <w:rFonts w:ascii="宋体" w:hAnsi="宋体"/>
                <w:color w:val="000000"/>
                <w:sz w:val="18"/>
                <w:szCs w:val="21"/>
                <w:highlight w:val="none"/>
              </w:rPr>
            </w:pPr>
          </w:p>
        </w:tc>
      </w:tr>
      <w:tr w14:paraId="0AF2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78676145">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BD0EA84">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01F0195">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51E18B6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14FBCF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791559">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A3A43F6">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8BE3DD5">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F2EC2B9">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B6802DF">
            <w:pPr>
              <w:tabs>
                <w:tab w:val="center" w:pos="4153"/>
                <w:tab w:val="right" w:pos="8306"/>
              </w:tabs>
              <w:snapToGrid w:val="0"/>
              <w:jc w:val="center"/>
              <w:rPr>
                <w:rFonts w:ascii="宋体" w:hAnsi="宋体"/>
                <w:color w:val="000000"/>
                <w:sz w:val="18"/>
                <w:szCs w:val="21"/>
                <w:highlight w:val="none"/>
              </w:rPr>
            </w:pPr>
          </w:p>
        </w:tc>
      </w:tr>
      <w:tr w14:paraId="5B1B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530500C6">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87CDBEC">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AC2A063">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BAAB98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931E8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A1DB53">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2170D19">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867853B">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66D000CE">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6AEBA57">
            <w:pPr>
              <w:tabs>
                <w:tab w:val="center" w:pos="4153"/>
                <w:tab w:val="right" w:pos="8306"/>
              </w:tabs>
              <w:snapToGrid w:val="0"/>
              <w:jc w:val="center"/>
              <w:rPr>
                <w:rFonts w:ascii="宋体" w:hAnsi="宋体"/>
                <w:color w:val="000000"/>
                <w:sz w:val="18"/>
                <w:szCs w:val="21"/>
                <w:highlight w:val="none"/>
              </w:rPr>
            </w:pPr>
          </w:p>
        </w:tc>
      </w:tr>
      <w:tr w14:paraId="74B6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750017B">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B0E2F24">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C06C61F">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E56155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DD6BD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A2C8EB">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BB8CAB9">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F5AD26C">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46E00F9">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9A06E24">
            <w:pPr>
              <w:tabs>
                <w:tab w:val="center" w:pos="4153"/>
                <w:tab w:val="right" w:pos="8306"/>
              </w:tabs>
              <w:snapToGrid w:val="0"/>
              <w:jc w:val="center"/>
              <w:rPr>
                <w:rFonts w:ascii="宋体" w:hAnsi="宋体"/>
                <w:color w:val="000000"/>
                <w:sz w:val="18"/>
                <w:szCs w:val="21"/>
                <w:highlight w:val="none"/>
              </w:rPr>
            </w:pPr>
          </w:p>
        </w:tc>
      </w:tr>
      <w:tr w14:paraId="2AAC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5C470D6C">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7361EAB">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839F2AA">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30DAEAE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7EBCB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DA6307">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A856316">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7CA4175">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64821C2E">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46FA3B1">
            <w:pPr>
              <w:tabs>
                <w:tab w:val="center" w:pos="4153"/>
                <w:tab w:val="right" w:pos="8306"/>
              </w:tabs>
              <w:snapToGrid w:val="0"/>
              <w:jc w:val="center"/>
              <w:rPr>
                <w:rFonts w:ascii="宋体" w:hAnsi="宋体"/>
                <w:color w:val="000000"/>
                <w:sz w:val="18"/>
                <w:szCs w:val="21"/>
                <w:highlight w:val="none"/>
              </w:rPr>
            </w:pPr>
          </w:p>
        </w:tc>
      </w:tr>
      <w:tr w14:paraId="37C9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5647AB5E">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6B244F0">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AEEC1BC">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5165AE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48B06C">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6A9E35">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CD04E26">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52339277">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50A5DBAA">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096A08D">
            <w:pPr>
              <w:tabs>
                <w:tab w:val="center" w:pos="4153"/>
                <w:tab w:val="right" w:pos="8306"/>
              </w:tabs>
              <w:snapToGrid w:val="0"/>
              <w:jc w:val="center"/>
              <w:rPr>
                <w:rFonts w:ascii="宋体" w:hAnsi="宋体"/>
                <w:color w:val="000000"/>
                <w:sz w:val="18"/>
                <w:szCs w:val="21"/>
                <w:highlight w:val="none"/>
              </w:rPr>
            </w:pPr>
          </w:p>
        </w:tc>
      </w:tr>
      <w:tr w14:paraId="09F5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23F4DB7">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3E8E033">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EDEFEDD">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B2058B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AB8A2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F303A1">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DA5819E">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5F8DD581">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31DB9F4">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4E54D5C">
            <w:pPr>
              <w:tabs>
                <w:tab w:val="center" w:pos="4153"/>
                <w:tab w:val="right" w:pos="8306"/>
              </w:tabs>
              <w:snapToGrid w:val="0"/>
              <w:jc w:val="center"/>
              <w:rPr>
                <w:rFonts w:ascii="宋体" w:hAnsi="宋体"/>
                <w:color w:val="000000"/>
                <w:sz w:val="18"/>
                <w:szCs w:val="21"/>
                <w:highlight w:val="none"/>
              </w:rPr>
            </w:pPr>
          </w:p>
        </w:tc>
      </w:tr>
      <w:tr w14:paraId="2627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2C0B4F8">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35204EEE">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8044935">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C93353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7384F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E63ECC">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296B45F">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0620D82">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37DD38CE">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FD31184">
            <w:pPr>
              <w:tabs>
                <w:tab w:val="center" w:pos="4153"/>
                <w:tab w:val="right" w:pos="8306"/>
              </w:tabs>
              <w:snapToGrid w:val="0"/>
              <w:jc w:val="center"/>
              <w:rPr>
                <w:rFonts w:ascii="宋体" w:hAnsi="宋体"/>
                <w:color w:val="000000"/>
                <w:sz w:val="18"/>
                <w:szCs w:val="21"/>
                <w:highlight w:val="none"/>
              </w:rPr>
            </w:pPr>
          </w:p>
        </w:tc>
      </w:tr>
      <w:tr w14:paraId="39CD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0F4FBDC">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0926058">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1619547">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74484A5">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22C9E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5C693B">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A1A6A27">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46E0159">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77AF32B">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A16AA76">
            <w:pPr>
              <w:tabs>
                <w:tab w:val="center" w:pos="4153"/>
                <w:tab w:val="right" w:pos="8306"/>
              </w:tabs>
              <w:snapToGrid w:val="0"/>
              <w:jc w:val="center"/>
              <w:rPr>
                <w:rFonts w:ascii="宋体" w:hAnsi="宋体"/>
                <w:color w:val="000000"/>
                <w:sz w:val="18"/>
                <w:szCs w:val="21"/>
                <w:highlight w:val="none"/>
              </w:rPr>
            </w:pPr>
          </w:p>
        </w:tc>
      </w:tr>
      <w:tr w14:paraId="67BF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9BEE4BF">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217C575">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967F264">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94E5E9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88EE468">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A21694">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2F56BCC">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381B4F3">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BAE8FB3">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4C242A7">
            <w:pPr>
              <w:tabs>
                <w:tab w:val="center" w:pos="4153"/>
                <w:tab w:val="right" w:pos="8306"/>
              </w:tabs>
              <w:snapToGrid w:val="0"/>
              <w:jc w:val="center"/>
              <w:rPr>
                <w:rFonts w:ascii="宋体" w:hAnsi="宋体"/>
                <w:color w:val="000000"/>
                <w:sz w:val="18"/>
                <w:szCs w:val="21"/>
                <w:highlight w:val="none"/>
              </w:rPr>
            </w:pPr>
          </w:p>
        </w:tc>
      </w:tr>
      <w:tr w14:paraId="6FBB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30BED391">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6A53A86">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B96093F">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0C4CA1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7F0B4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A96FD3">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F358CC4">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53B98BFD">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7EAC7BC">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ED55E94">
            <w:pPr>
              <w:tabs>
                <w:tab w:val="center" w:pos="4153"/>
                <w:tab w:val="right" w:pos="8306"/>
              </w:tabs>
              <w:snapToGrid w:val="0"/>
              <w:jc w:val="center"/>
              <w:rPr>
                <w:rFonts w:ascii="宋体" w:hAnsi="宋体"/>
                <w:color w:val="000000"/>
                <w:sz w:val="18"/>
                <w:szCs w:val="21"/>
                <w:highlight w:val="none"/>
              </w:rPr>
            </w:pPr>
          </w:p>
        </w:tc>
      </w:tr>
      <w:tr w14:paraId="56DE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692E5FB">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836D224">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52EFFFD">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7352618">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75A79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4FE88D">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E40A248">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0C9BCAA2">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4AAC49C">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63D941C">
            <w:pPr>
              <w:tabs>
                <w:tab w:val="center" w:pos="4153"/>
                <w:tab w:val="right" w:pos="8306"/>
              </w:tabs>
              <w:snapToGrid w:val="0"/>
              <w:jc w:val="center"/>
              <w:rPr>
                <w:rFonts w:ascii="宋体" w:hAnsi="宋体"/>
                <w:color w:val="000000"/>
                <w:sz w:val="18"/>
                <w:szCs w:val="21"/>
                <w:highlight w:val="none"/>
              </w:rPr>
            </w:pPr>
          </w:p>
        </w:tc>
      </w:tr>
      <w:tr w14:paraId="0FC0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20C7932">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04B5196">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0E0708">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143D8D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B2F96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D473AF">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A2AAC0A">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66886143">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3FCA4AE">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9B02259">
            <w:pPr>
              <w:tabs>
                <w:tab w:val="center" w:pos="4153"/>
                <w:tab w:val="right" w:pos="8306"/>
              </w:tabs>
              <w:snapToGrid w:val="0"/>
              <w:jc w:val="center"/>
              <w:rPr>
                <w:rFonts w:ascii="宋体" w:hAnsi="宋体"/>
                <w:color w:val="000000"/>
                <w:sz w:val="18"/>
                <w:szCs w:val="21"/>
                <w:highlight w:val="none"/>
              </w:rPr>
            </w:pPr>
          </w:p>
        </w:tc>
      </w:tr>
      <w:tr w14:paraId="5A35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3A1CC63">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36B8EBC">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C6939AE">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16F651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0CE07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2C364A">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06C78CA">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7A6C87B">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F8BAB9B">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9EA990D">
            <w:pPr>
              <w:tabs>
                <w:tab w:val="center" w:pos="4153"/>
                <w:tab w:val="right" w:pos="8306"/>
              </w:tabs>
              <w:snapToGrid w:val="0"/>
              <w:jc w:val="center"/>
              <w:rPr>
                <w:rFonts w:ascii="宋体" w:hAnsi="宋体"/>
                <w:color w:val="000000"/>
                <w:sz w:val="18"/>
                <w:szCs w:val="21"/>
                <w:highlight w:val="none"/>
              </w:rPr>
            </w:pPr>
          </w:p>
        </w:tc>
      </w:tr>
      <w:tr w14:paraId="7B3B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537CA21D">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0E99B8A">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A18BC4D">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BB3487C">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0E205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351160">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290F22E">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36659EF9">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41042C7">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374B812">
            <w:pPr>
              <w:tabs>
                <w:tab w:val="center" w:pos="4153"/>
                <w:tab w:val="right" w:pos="8306"/>
              </w:tabs>
              <w:snapToGrid w:val="0"/>
              <w:jc w:val="center"/>
              <w:rPr>
                <w:rFonts w:ascii="宋体" w:hAnsi="宋体"/>
                <w:color w:val="000000"/>
                <w:sz w:val="18"/>
                <w:szCs w:val="21"/>
                <w:highlight w:val="none"/>
              </w:rPr>
            </w:pPr>
          </w:p>
        </w:tc>
      </w:tr>
      <w:tr w14:paraId="7689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15168F44">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6F22AFB">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5329F31">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95316F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D99B9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1C47BA">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511C09A">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25692CE">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15DE06CE">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B044138">
            <w:pPr>
              <w:tabs>
                <w:tab w:val="center" w:pos="4153"/>
                <w:tab w:val="right" w:pos="8306"/>
              </w:tabs>
              <w:snapToGrid w:val="0"/>
              <w:jc w:val="center"/>
              <w:rPr>
                <w:rFonts w:ascii="宋体" w:hAnsi="宋体"/>
                <w:color w:val="000000"/>
                <w:sz w:val="18"/>
                <w:szCs w:val="21"/>
                <w:highlight w:val="none"/>
              </w:rPr>
            </w:pPr>
          </w:p>
        </w:tc>
      </w:tr>
      <w:tr w14:paraId="4EF9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8E16C86">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DB286BC">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6C7C556">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30341F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EBB316">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9A363A">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EA42A05">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5D952458">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D8A4F26">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080D29E">
            <w:pPr>
              <w:tabs>
                <w:tab w:val="center" w:pos="4153"/>
                <w:tab w:val="right" w:pos="8306"/>
              </w:tabs>
              <w:snapToGrid w:val="0"/>
              <w:jc w:val="center"/>
              <w:rPr>
                <w:rFonts w:ascii="宋体" w:hAnsi="宋体"/>
                <w:color w:val="000000"/>
                <w:sz w:val="18"/>
                <w:szCs w:val="21"/>
                <w:highlight w:val="none"/>
              </w:rPr>
            </w:pPr>
          </w:p>
        </w:tc>
      </w:tr>
      <w:tr w14:paraId="0CD1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D29ADDC">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99EA320">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2C558AE">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90585F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90D9E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DD55B9">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6DD39B2">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0E836A44">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3D6854D3">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74D00EF">
            <w:pPr>
              <w:tabs>
                <w:tab w:val="center" w:pos="4153"/>
                <w:tab w:val="right" w:pos="8306"/>
              </w:tabs>
              <w:snapToGrid w:val="0"/>
              <w:jc w:val="center"/>
              <w:rPr>
                <w:rFonts w:ascii="宋体" w:hAnsi="宋体"/>
                <w:color w:val="000000"/>
                <w:sz w:val="18"/>
                <w:szCs w:val="21"/>
                <w:highlight w:val="none"/>
              </w:rPr>
            </w:pPr>
          </w:p>
        </w:tc>
      </w:tr>
      <w:tr w14:paraId="744E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302FBCE">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23B8641">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751E3DF">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34002B1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B6B1B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85F3C8">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49ED635">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733A4D8">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2040DFCB">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EAE9FF4">
            <w:pPr>
              <w:tabs>
                <w:tab w:val="center" w:pos="4153"/>
                <w:tab w:val="right" w:pos="8306"/>
              </w:tabs>
              <w:snapToGrid w:val="0"/>
              <w:jc w:val="center"/>
              <w:rPr>
                <w:rFonts w:ascii="宋体" w:hAnsi="宋体"/>
                <w:color w:val="000000"/>
                <w:sz w:val="18"/>
                <w:szCs w:val="21"/>
                <w:highlight w:val="none"/>
              </w:rPr>
            </w:pPr>
          </w:p>
        </w:tc>
      </w:tr>
      <w:tr w14:paraId="05F0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0DA54DB9">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9ECD289">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5BD8420">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0EA47E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1C1BE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DE2DDCA">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DA4F477">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67BA92B8">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947B5A2">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D5C8264">
            <w:pPr>
              <w:tabs>
                <w:tab w:val="center" w:pos="4153"/>
                <w:tab w:val="right" w:pos="8306"/>
              </w:tabs>
              <w:snapToGrid w:val="0"/>
              <w:jc w:val="center"/>
              <w:rPr>
                <w:rFonts w:ascii="宋体" w:hAnsi="宋体"/>
                <w:color w:val="000000"/>
                <w:sz w:val="18"/>
                <w:szCs w:val="21"/>
                <w:highlight w:val="none"/>
              </w:rPr>
            </w:pPr>
          </w:p>
        </w:tc>
      </w:tr>
      <w:tr w14:paraId="135A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13961DC9">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0F39CAA">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43B4EA5">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EB4F04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B30B39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25FE1F">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8D209A3">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7671F58">
            <w:pPr>
              <w:tabs>
                <w:tab w:val="center" w:pos="4153"/>
                <w:tab w:val="right" w:pos="8306"/>
              </w:tabs>
              <w:snapToGrid w:val="0"/>
              <w:jc w:val="center"/>
              <w:rPr>
                <w:rFonts w:ascii="宋体" w:hAnsi="宋体"/>
                <w:color w:val="000000"/>
                <w:sz w:val="18"/>
                <w:szCs w:val="21"/>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88AA972">
            <w:pPr>
              <w:tabs>
                <w:tab w:val="center" w:pos="4153"/>
                <w:tab w:val="right" w:pos="8306"/>
              </w:tabs>
              <w:snapToGrid w:val="0"/>
              <w:jc w:val="center"/>
              <w:rPr>
                <w:rFonts w:ascii="宋体" w:hAnsi="宋体"/>
                <w:color w:val="000000"/>
                <w:sz w:val="18"/>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FEE8BD5">
            <w:pPr>
              <w:tabs>
                <w:tab w:val="center" w:pos="4153"/>
                <w:tab w:val="right" w:pos="8306"/>
              </w:tabs>
              <w:snapToGrid w:val="0"/>
              <w:jc w:val="center"/>
              <w:rPr>
                <w:rFonts w:ascii="宋体" w:hAnsi="宋体"/>
                <w:color w:val="000000"/>
                <w:sz w:val="18"/>
                <w:szCs w:val="21"/>
                <w:highlight w:val="none"/>
              </w:rPr>
            </w:pPr>
          </w:p>
        </w:tc>
      </w:tr>
    </w:tbl>
    <w:p w14:paraId="63B31371">
      <w:pPr>
        <w:spacing w:line="420" w:lineRule="exact"/>
        <w:rPr>
          <w:rFonts w:hint="eastAsia" w:ascii="宋体" w:hAnsi="宋体"/>
          <w:color w:val="000000"/>
          <w:szCs w:val="21"/>
          <w:highlight w:val="none"/>
        </w:rPr>
      </w:pPr>
    </w:p>
    <w:p w14:paraId="06202FBB">
      <w:pPr>
        <w:spacing w:before="156" w:beforeLines="50" w:after="312" w:afterLines="100" w:line="420" w:lineRule="exact"/>
        <w:rPr>
          <w:rFonts w:hint="eastAsia" w:ascii="黑体" w:hAnsi="宋体" w:eastAsia="黑体"/>
          <w:color w:val="000000"/>
          <w:sz w:val="24"/>
          <w:highlight w:val="none"/>
        </w:rPr>
      </w:pPr>
      <w:r>
        <w:rPr>
          <w:rFonts w:hint="eastAsia" w:ascii="宋体" w:hAnsi="宋体"/>
          <w:color w:val="000000"/>
          <w:szCs w:val="21"/>
          <w:highlight w:val="none"/>
        </w:rPr>
        <w:br w:type="page"/>
      </w:r>
      <w:r>
        <w:rPr>
          <w:rFonts w:hint="eastAsia" w:ascii="黑体" w:hAnsi="宋体" w:eastAsia="黑体"/>
          <w:color w:val="000000"/>
          <w:sz w:val="24"/>
          <w:highlight w:val="none"/>
        </w:rPr>
        <w:t>附表二：拟配备本工程的试验和检测仪器设备表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7879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E803309">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序号</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2AC49A4">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仪器设备</w:t>
            </w:r>
          </w:p>
          <w:p w14:paraId="0B68B9A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名    称</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BEA45B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型号</w:t>
            </w:r>
          </w:p>
          <w:p w14:paraId="62DA0361">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规格</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CB84F10">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数  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C277DD">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国别</w:t>
            </w:r>
          </w:p>
          <w:p w14:paraId="0333D7B7">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产地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9D6CC6">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制造</w:t>
            </w:r>
          </w:p>
          <w:p w14:paraId="058DF648">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年份</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D9CC923">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已使用台</w:t>
            </w:r>
          </w:p>
          <w:p w14:paraId="235CEA02">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时    数</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1037ADF">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用  途</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D7C81C">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备注</w:t>
            </w:r>
          </w:p>
        </w:tc>
      </w:tr>
      <w:tr w14:paraId="34A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808503D">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E4D5784">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EE8F814">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474857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C79F74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F41E5F">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9E7FCF5">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15494FB2">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5C3CECC">
            <w:pPr>
              <w:tabs>
                <w:tab w:val="center" w:pos="4153"/>
                <w:tab w:val="right" w:pos="8306"/>
              </w:tabs>
              <w:snapToGrid w:val="0"/>
              <w:jc w:val="center"/>
              <w:rPr>
                <w:rFonts w:ascii="宋体" w:hAnsi="宋体"/>
                <w:color w:val="000000"/>
                <w:sz w:val="18"/>
                <w:szCs w:val="21"/>
                <w:highlight w:val="none"/>
              </w:rPr>
            </w:pPr>
          </w:p>
        </w:tc>
      </w:tr>
      <w:tr w14:paraId="32F6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3107754">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55A0A6B">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CE3F1BF">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5FB4D0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9F2DA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83DA3F7">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CEEF66D">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13267F1">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BA58000">
            <w:pPr>
              <w:tabs>
                <w:tab w:val="center" w:pos="4153"/>
                <w:tab w:val="right" w:pos="8306"/>
              </w:tabs>
              <w:snapToGrid w:val="0"/>
              <w:jc w:val="center"/>
              <w:rPr>
                <w:rFonts w:ascii="宋体" w:hAnsi="宋体"/>
                <w:color w:val="000000"/>
                <w:sz w:val="18"/>
                <w:szCs w:val="21"/>
                <w:highlight w:val="none"/>
              </w:rPr>
            </w:pPr>
          </w:p>
        </w:tc>
      </w:tr>
      <w:tr w14:paraId="397F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9C652C2">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D9A1B48">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D17C29C">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5422CC35">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81652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51B9F0E">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885BE88">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3162B3DA">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4EA21CB">
            <w:pPr>
              <w:tabs>
                <w:tab w:val="center" w:pos="4153"/>
                <w:tab w:val="right" w:pos="8306"/>
              </w:tabs>
              <w:snapToGrid w:val="0"/>
              <w:jc w:val="center"/>
              <w:rPr>
                <w:rFonts w:ascii="宋体" w:hAnsi="宋体"/>
                <w:color w:val="000000"/>
                <w:sz w:val="18"/>
                <w:szCs w:val="21"/>
                <w:highlight w:val="none"/>
              </w:rPr>
            </w:pPr>
          </w:p>
        </w:tc>
      </w:tr>
      <w:tr w14:paraId="5DBE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2E47AEC">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6819CFE">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35EEF95">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E51FE0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8F2A3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E4F261">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62CA9E6">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01F1A58A">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3E3FE44">
            <w:pPr>
              <w:tabs>
                <w:tab w:val="center" w:pos="4153"/>
                <w:tab w:val="right" w:pos="8306"/>
              </w:tabs>
              <w:snapToGrid w:val="0"/>
              <w:jc w:val="center"/>
              <w:rPr>
                <w:rFonts w:ascii="宋体" w:hAnsi="宋体"/>
                <w:color w:val="000000"/>
                <w:sz w:val="18"/>
                <w:szCs w:val="21"/>
                <w:highlight w:val="none"/>
              </w:rPr>
            </w:pPr>
          </w:p>
        </w:tc>
      </w:tr>
      <w:tr w14:paraId="4D80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B5767AC">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8CF33D4">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5585402">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8F5BE6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9C21F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BD094C">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F523B66">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41CF5B60">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DF9502E">
            <w:pPr>
              <w:tabs>
                <w:tab w:val="center" w:pos="4153"/>
                <w:tab w:val="right" w:pos="8306"/>
              </w:tabs>
              <w:snapToGrid w:val="0"/>
              <w:jc w:val="center"/>
              <w:rPr>
                <w:rFonts w:ascii="宋体" w:hAnsi="宋体"/>
                <w:color w:val="000000"/>
                <w:sz w:val="18"/>
                <w:szCs w:val="21"/>
                <w:highlight w:val="none"/>
              </w:rPr>
            </w:pPr>
          </w:p>
        </w:tc>
      </w:tr>
      <w:tr w14:paraId="0287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0A94DE3">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4AB2569">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F1DCAFB">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4684C7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D924EE">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6C46DC">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0C221F9">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4E1D9B15">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D777FAC">
            <w:pPr>
              <w:tabs>
                <w:tab w:val="center" w:pos="4153"/>
                <w:tab w:val="right" w:pos="8306"/>
              </w:tabs>
              <w:snapToGrid w:val="0"/>
              <w:jc w:val="center"/>
              <w:rPr>
                <w:rFonts w:ascii="宋体" w:hAnsi="宋体"/>
                <w:color w:val="000000"/>
                <w:sz w:val="18"/>
                <w:szCs w:val="21"/>
                <w:highlight w:val="none"/>
              </w:rPr>
            </w:pPr>
          </w:p>
        </w:tc>
      </w:tr>
      <w:tr w14:paraId="0F33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00FF78F">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73EE5ED">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6D54413">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9DE3D75">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0B024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D3FD74">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A698C31">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44F79B11">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D84DF78">
            <w:pPr>
              <w:tabs>
                <w:tab w:val="center" w:pos="4153"/>
                <w:tab w:val="right" w:pos="8306"/>
              </w:tabs>
              <w:snapToGrid w:val="0"/>
              <w:jc w:val="center"/>
              <w:rPr>
                <w:rFonts w:ascii="宋体" w:hAnsi="宋体"/>
                <w:color w:val="000000"/>
                <w:sz w:val="18"/>
                <w:szCs w:val="21"/>
                <w:highlight w:val="none"/>
              </w:rPr>
            </w:pPr>
          </w:p>
        </w:tc>
      </w:tr>
      <w:tr w14:paraId="279B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CE15035">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BE24371">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EC39EFE">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C3F830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85FE8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18A0D7">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F07146B">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58E3360F">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B340C6">
            <w:pPr>
              <w:tabs>
                <w:tab w:val="center" w:pos="4153"/>
                <w:tab w:val="right" w:pos="8306"/>
              </w:tabs>
              <w:snapToGrid w:val="0"/>
              <w:jc w:val="center"/>
              <w:rPr>
                <w:rFonts w:ascii="宋体" w:hAnsi="宋体"/>
                <w:color w:val="000000"/>
                <w:sz w:val="18"/>
                <w:szCs w:val="21"/>
                <w:highlight w:val="none"/>
              </w:rPr>
            </w:pPr>
          </w:p>
        </w:tc>
      </w:tr>
      <w:tr w14:paraId="736F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571D682">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3E649C32">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D3C8792">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D7BF03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872C2B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CEBF5E">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4E4F1EF">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2DAB1AAB">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1F3BA9C">
            <w:pPr>
              <w:tabs>
                <w:tab w:val="center" w:pos="4153"/>
                <w:tab w:val="right" w:pos="8306"/>
              </w:tabs>
              <w:snapToGrid w:val="0"/>
              <w:jc w:val="center"/>
              <w:rPr>
                <w:rFonts w:ascii="宋体" w:hAnsi="宋体"/>
                <w:color w:val="000000"/>
                <w:sz w:val="18"/>
                <w:szCs w:val="21"/>
                <w:highlight w:val="none"/>
              </w:rPr>
            </w:pPr>
          </w:p>
        </w:tc>
      </w:tr>
      <w:tr w14:paraId="2925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DD35E85">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91FAFF0">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346B78F">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0E18F7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15C27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B043E1">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877AA56">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38456571">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40EBBE3">
            <w:pPr>
              <w:tabs>
                <w:tab w:val="center" w:pos="4153"/>
                <w:tab w:val="right" w:pos="8306"/>
              </w:tabs>
              <w:snapToGrid w:val="0"/>
              <w:jc w:val="center"/>
              <w:rPr>
                <w:rFonts w:ascii="宋体" w:hAnsi="宋体"/>
                <w:color w:val="000000"/>
                <w:sz w:val="18"/>
                <w:szCs w:val="21"/>
                <w:highlight w:val="none"/>
              </w:rPr>
            </w:pPr>
          </w:p>
        </w:tc>
      </w:tr>
      <w:tr w14:paraId="68C7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88F4102">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E17AC88">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4B1E099">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2D3CEE8">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68CA50">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FCCBFF">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896E9C1">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43F0B75E">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7A759EF">
            <w:pPr>
              <w:tabs>
                <w:tab w:val="center" w:pos="4153"/>
                <w:tab w:val="right" w:pos="8306"/>
              </w:tabs>
              <w:snapToGrid w:val="0"/>
              <w:jc w:val="center"/>
              <w:rPr>
                <w:rFonts w:ascii="宋体" w:hAnsi="宋体"/>
                <w:color w:val="000000"/>
                <w:sz w:val="18"/>
                <w:szCs w:val="21"/>
                <w:highlight w:val="none"/>
              </w:rPr>
            </w:pPr>
          </w:p>
        </w:tc>
      </w:tr>
      <w:tr w14:paraId="4023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6CC8DCDC">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34C8CDB">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D3DE71F">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14A833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140014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71872A">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4458C80">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62D59270">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ED62DAA">
            <w:pPr>
              <w:tabs>
                <w:tab w:val="center" w:pos="4153"/>
                <w:tab w:val="right" w:pos="8306"/>
              </w:tabs>
              <w:snapToGrid w:val="0"/>
              <w:jc w:val="center"/>
              <w:rPr>
                <w:rFonts w:ascii="宋体" w:hAnsi="宋体"/>
                <w:color w:val="000000"/>
                <w:sz w:val="18"/>
                <w:szCs w:val="21"/>
                <w:highlight w:val="none"/>
              </w:rPr>
            </w:pPr>
          </w:p>
        </w:tc>
      </w:tr>
      <w:tr w14:paraId="463C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23B3935">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2D82538">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A759F02">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E315A2B">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376AC4">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B295EA">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637B581">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632E0967">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6D75EDE">
            <w:pPr>
              <w:tabs>
                <w:tab w:val="center" w:pos="4153"/>
                <w:tab w:val="right" w:pos="8306"/>
              </w:tabs>
              <w:snapToGrid w:val="0"/>
              <w:jc w:val="center"/>
              <w:rPr>
                <w:rFonts w:ascii="宋体" w:hAnsi="宋体"/>
                <w:color w:val="000000"/>
                <w:sz w:val="18"/>
                <w:szCs w:val="21"/>
                <w:highlight w:val="none"/>
              </w:rPr>
            </w:pPr>
          </w:p>
        </w:tc>
      </w:tr>
      <w:tr w14:paraId="0ABD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39191DB">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3DF1425E">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A27B63C">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06249B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BEB8679">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1EB240">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906014D">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6A5AA2B8">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8FC23E1">
            <w:pPr>
              <w:tabs>
                <w:tab w:val="center" w:pos="4153"/>
                <w:tab w:val="right" w:pos="8306"/>
              </w:tabs>
              <w:snapToGrid w:val="0"/>
              <w:jc w:val="center"/>
              <w:rPr>
                <w:rFonts w:ascii="宋体" w:hAnsi="宋体"/>
                <w:color w:val="000000"/>
                <w:sz w:val="18"/>
                <w:szCs w:val="21"/>
                <w:highlight w:val="none"/>
              </w:rPr>
            </w:pPr>
          </w:p>
        </w:tc>
      </w:tr>
      <w:tr w14:paraId="4306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3EC4C844">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436F1E3">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5DA131">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385BE9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96E32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A6DB6F">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9556CAB">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4679698E">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06C7C5A">
            <w:pPr>
              <w:tabs>
                <w:tab w:val="center" w:pos="4153"/>
                <w:tab w:val="right" w:pos="8306"/>
              </w:tabs>
              <w:snapToGrid w:val="0"/>
              <w:jc w:val="center"/>
              <w:rPr>
                <w:rFonts w:ascii="宋体" w:hAnsi="宋体"/>
                <w:color w:val="000000"/>
                <w:sz w:val="18"/>
                <w:szCs w:val="21"/>
                <w:highlight w:val="none"/>
              </w:rPr>
            </w:pPr>
          </w:p>
        </w:tc>
      </w:tr>
      <w:tr w14:paraId="4270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7B7C047">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41BD5E7">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10C0D14">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3C13DDB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16BD2C">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6F4748">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744254B">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503181AF">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2F0C2FA">
            <w:pPr>
              <w:tabs>
                <w:tab w:val="center" w:pos="4153"/>
                <w:tab w:val="right" w:pos="8306"/>
              </w:tabs>
              <w:snapToGrid w:val="0"/>
              <w:jc w:val="center"/>
              <w:rPr>
                <w:rFonts w:ascii="宋体" w:hAnsi="宋体"/>
                <w:color w:val="000000"/>
                <w:sz w:val="18"/>
                <w:szCs w:val="21"/>
                <w:highlight w:val="none"/>
              </w:rPr>
            </w:pPr>
          </w:p>
        </w:tc>
      </w:tr>
      <w:tr w14:paraId="6EA2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4C3E332">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1CCDEFD">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1F5AFEB">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387BA136">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571C3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C0E3E67">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6CAB45A">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0815D248">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AC77918">
            <w:pPr>
              <w:tabs>
                <w:tab w:val="center" w:pos="4153"/>
                <w:tab w:val="right" w:pos="8306"/>
              </w:tabs>
              <w:snapToGrid w:val="0"/>
              <w:jc w:val="center"/>
              <w:rPr>
                <w:rFonts w:ascii="宋体" w:hAnsi="宋体"/>
                <w:color w:val="000000"/>
                <w:sz w:val="18"/>
                <w:szCs w:val="21"/>
                <w:highlight w:val="none"/>
              </w:rPr>
            </w:pPr>
          </w:p>
        </w:tc>
      </w:tr>
      <w:tr w14:paraId="4499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BF1C75C">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564E64A">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8B66E69">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09FE2A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12A7811">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67013F">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D51E15F">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2A55D05">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D484F71">
            <w:pPr>
              <w:tabs>
                <w:tab w:val="center" w:pos="4153"/>
                <w:tab w:val="right" w:pos="8306"/>
              </w:tabs>
              <w:snapToGrid w:val="0"/>
              <w:jc w:val="center"/>
              <w:rPr>
                <w:rFonts w:ascii="宋体" w:hAnsi="宋体"/>
                <w:color w:val="000000"/>
                <w:sz w:val="18"/>
                <w:szCs w:val="21"/>
                <w:highlight w:val="none"/>
              </w:rPr>
            </w:pPr>
          </w:p>
        </w:tc>
      </w:tr>
      <w:tr w14:paraId="5F4C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9493344">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7621CF4">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D8E5909">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5EE5883">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B94F5AA">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FF495B">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28A97BA">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6F47249A">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EA66EFB">
            <w:pPr>
              <w:tabs>
                <w:tab w:val="center" w:pos="4153"/>
                <w:tab w:val="right" w:pos="8306"/>
              </w:tabs>
              <w:snapToGrid w:val="0"/>
              <w:jc w:val="center"/>
              <w:rPr>
                <w:rFonts w:ascii="宋体" w:hAnsi="宋体"/>
                <w:color w:val="000000"/>
                <w:sz w:val="18"/>
                <w:szCs w:val="21"/>
                <w:highlight w:val="none"/>
              </w:rPr>
            </w:pPr>
          </w:p>
        </w:tc>
      </w:tr>
      <w:tr w14:paraId="694C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BAF5130">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BF9F634">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55F1AD5E">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0E4F632">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4641DD">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C92146A">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4FAA985">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33355545">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1B01D4">
            <w:pPr>
              <w:tabs>
                <w:tab w:val="center" w:pos="4153"/>
                <w:tab w:val="right" w:pos="8306"/>
              </w:tabs>
              <w:snapToGrid w:val="0"/>
              <w:jc w:val="center"/>
              <w:rPr>
                <w:rFonts w:ascii="宋体" w:hAnsi="宋体"/>
                <w:color w:val="000000"/>
                <w:sz w:val="18"/>
                <w:szCs w:val="21"/>
                <w:highlight w:val="none"/>
              </w:rPr>
            </w:pPr>
          </w:p>
        </w:tc>
      </w:tr>
      <w:tr w14:paraId="4985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7A0F627">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7DEEE1D">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6576462">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FFDD112">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10F471">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375394">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8E36D04">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69F62496">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C8CEAC">
            <w:pPr>
              <w:tabs>
                <w:tab w:val="center" w:pos="4153"/>
                <w:tab w:val="right" w:pos="8306"/>
              </w:tabs>
              <w:snapToGrid w:val="0"/>
              <w:jc w:val="center"/>
              <w:rPr>
                <w:rFonts w:ascii="宋体" w:hAnsi="宋体"/>
                <w:color w:val="000000"/>
                <w:sz w:val="18"/>
                <w:szCs w:val="21"/>
                <w:highlight w:val="none"/>
              </w:rPr>
            </w:pPr>
          </w:p>
        </w:tc>
      </w:tr>
      <w:tr w14:paraId="0E1E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AEBF073">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11C464B">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A8B3350">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F97F30F">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CFF046">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8D2152">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D84B9A1">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1F702A0">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DD8D78B">
            <w:pPr>
              <w:tabs>
                <w:tab w:val="center" w:pos="4153"/>
                <w:tab w:val="right" w:pos="8306"/>
              </w:tabs>
              <w:snapToGrid w:val="0"/>
              <w:jc w:val="center"/>
              <w:rPr>
                <w:rFonts w:ascii="宋体" w:hAnsi="宋体"/>
                <w:color w:val="000000"/>
                <w:sz w:val="18"/>
                <w:szCs w:val="21"/>
                <w:highlight w:val="none"/>
              </w:rPr>
            </w:pPr>
          </w:p>
        </w:tc>
      </w:tr>
      <w:tr w14:paraId="528D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67EF673">
            <w:pPr>
              <w:tabs>
                <w:tab w:val="center" w:pos="4153"/>
                <w:tab w:val="right" w:pos="8306"/>
              </w:tabs>
              <w:snapToGrid w:val="0"/>
              <w:jc w:val="center"/>
              <w:rPr>
                <w:rFonts w:ascii="宋体" w:hAnsi="宋体"/>
                <w:color w:val="000000"/>
                <w:sz w:val="18"/>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E1332DC">
            <w:pPr>
              <w:tabs>
                <w:tab w:val="center" w:pos="4153"/>
                <w:tab w:val="right" w:pos="8306"/>
              </w:tabs>
              <w:snapToGrid w:val="0"/>
              <w:jc w:val="center"/>
              <w:rPr>
                <w:rFonts w:ascii="宋体" w:hAnsi="宋体"/>
                <w:color w:val="000000"/>
                <w:sz w:val="18"/>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D474847">
            <w:pPr>
              <w:tabs>
                <w:tab w:val="center" w:pos="4153"/>
                <w:tab w:val="right" w:pos="8306"/>
              </w:tabs>
              <w:snapToGrid w:val="0"/>
              <w:jc w:val="center"/>
              <w:rPr>
                <w:rFonts w:ascii="宋体" w:hAnsi="宋体"/>
                <w:color w:val="000000"/>
                <w:sz w:val="18"/>
                <w:szCs w:val="21"/>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C671E26">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A741E7">
            <w:pPr>
              <w:tabs>
                <w:tab w:val="center" w:pos="4153"/>
                <w:tab w:val="right" w:pos="8306"/>
              </w:tabs>
              <w:snapToGrid w:val="0"/>
              <w:jc w:val="center"/>
              <w:rPr>
                <w:rFonts w:ascii="宋体" w:hAnsi="宋体"/>
                <w:color w:val="000000"/>
                <w:sz w:val="18"/>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10C93B">
            <w:pPr>
              <w:tabs>
                <w:tab w:val="center" w:pos="4153"/>
                <w:tab w:val="right" w:pos="8306"/>
              </w:tabs>
              <w:snapToGrid w:val="0"/>
              <w:jc w:val="center"/>
              <w:rPr>
                <w:rFonts w:ascii="宋体" w:hAnsi="宋体"/>
                <w:color w:val="000000"/>
                <w:sz w:val="18"/>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5281BF8">
            <w:pPr>
              <w:tabs>
                <w:tab w:val="center" w:pos="4153"/>
                <w:tab w:val="right" w:pos="8306"/>
              </w:tabs>
              <w:snapToGrid w:val="0"/>
              <w:jc w:val="center"/>
              <w:rPr>
                <w:rFonts w:ascii="宋体" w:hAnsi="宋体"/>
                <w:color w:val="000000"/>
                <w:sz w:val="18"/>
                <w:szCs w:val="21"/>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FEAD0C4">
            <w:pPr>
              <w:tabs>
                <w:tab w:val="center" w:pos="4153"/>
                <w:tab w:val="right" w:pos="8306"/>
              </w:tabs>
              <w:snapToGrid w:val="0"/>
              <w:jc w:val="center"/>
              <w:rPr>
                <w:rFonts w:ascii="宋体" w:hAnsi="宋体"/>
                <w:color w:val="000000"/>
                <w:sz w:val="18"/>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912E78A">
            <w:pPr>
              <w:tabs>
                <w:tab w:val="center" w:pos="4153"/>
                <w:tab w:val="right" w:pos="8306"/>
              </w:tabs>
              <w:snapToGrid w:val="0"/>
              <w:jc w:val="center"/>
              <w:rPr>
                <w:rFonts w:ascii="宋体" w:hAnsi="宋体"/>
                <w:color w:val="000000"/>
                <w:sz w:val="18"/>
                <w:szCs w:val="21"/>
                <w:highlight w:val="none"/>
              </w:rPr>
            </w:pPr>
          </w:p>
        </w:tc>
      </w:tr>
    </w:tbl>
    <w:p w14:paraId="7C7EBD01">
      <w:pPr>
        <w:spacing w:line="420" w:lineRule="exact"/>
        <w:rPr>
          <w:rFonts w:hint="eastAsia" w:ascii="宋体" w:hAnsi="宋体"/>
          <w:color w:val="000000"/>
          <w:szCs w:val="21"/>
          <w:highlight w:val="none"/>
        </w:rPr>
      </w:pPr>
    </w:p>
    <w:p w14:paraId="0797A489">
      <w:pPr>
        <w:spacing w:before="156" w:beforeLines="50" w:after="156" w:afterLines="50" w:line="420" w:lineRule="exact"/>
        <w:rPr>
          <w:rFonts w:hint="eastAsia" w:ascii="黑体" w:hAnsi="宋体" w:eastAsia="黑体"/>
          <w:color w:val="000000"/>
          <w:sz w:val="24"/>
          <w:highlight w:val="none"/>
        </w:rPr>
      </w:pPr>
      <w:r>
        <w:rPr>
          <w:rFonts w:hint="eastAsia" w:ascii="宋体" w:hAnsi="宋体"/>
          <w:color w:val="000000"/>
          <w:szCs w:val="21"/>
          <w:highlight w:val="none"/>
        </w:rPr>
        <w:br w:type="page"/>
      </w:r>
      <w:r>
        <w:rPr>
          <w:rFonts w:hint="eastAsia" w:ascii="黑体" w:hAnsi="宋体" w:eastAsia="黑体"/>
          <w:color w:val="000000"/>
          <w:sz w:val="24"/>
          <w:highlight w:val="none"/>
        </w:rPr>
        <w:t>附表三：劳动力计划表</w:t>
      </w:r>
    </w:p>
    <w:p w14:paraId="11737B3E">
      <w:pPr>
        <w:wordWrap w:val="0"/>
        <w:spacing w:line="420" w:lineRule="exact"/>
        <w:jc w:val="right"/>
        <w:rPr>
          <w:rFonts w:hint="eastAsia" w:ascii="黑体" w:hAnsi="宋体" w:eastAsia="黑体"/>
          <w:color w:val="000000"/>
          <w:szCs w:val="21"/>
          <w:highlight w:val="none"/>
        </w:rPr>
      </w:pPr>
      <w:r>
        <w:rPr>
          <w:rFonts w:hint="eastAsia" w:ascii="黑体" w:hAnsi="宋体" w:eastAsia="黑体"/>
          <w:color w:val="000000"/>
          <w:szCs w:val="21"/>
          <w:highlight w:val="none"/>
        </w:rPr>
        <w:t xml:space="preserve">单位：人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F9C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B5708B">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工种</w:t>
            </w:r>
          </w:p>
        </w:tc>
        <w:tc>
          <w:tcPr>
            <w:tcW w:w="7796" w:type="dxa"/>
            <w:gridSpan w:val="7"/>
            <w:tcBorders>
              <w:top w:val="single" w:color="auto" w:sz="4" w:space="0"/>
              <w:left w:val="single" w:color="auto" w:sz="4" w:space="0"/>
              <w:bottom w:val="single" w:color="auto" w:sz="4" w:space="0"/>
              <w:right w:val="single" w:color="auto" w:sz="4" w:space="0"/>
            </w:tcBorders>
            <w:noWrap w:val="0"/>
            <w:vAlign w:val="center"/>
          </w:tcPr>
          <w:p w14:paraId="653FEAB4">
            <w:pPr>
              <w:tabs>
                <w:tab w:val="center" w:pos="4153"/>
                <w:tab w:val="right" w:pos="8306"/>
              </w:tabs>
              <w:snapToGrid w:val="0"/>
              <w:jc w:val="center"/>
              <w:rPr>
                <w:rFonts w:ascii="宋体" w:hAnsi="宋体"/>
                <w:color w:val="000000"/>
                <w:sz w:val="18"/>
                <w:szCs w:val="21"/>
                <w:highlight w:val="none"/>
              </w:rPr>
            </w:pPr>
            <w:r>
              <w:rPr>
                <w:rFonts w:hint="eastAsia" w:ascii="宋体" w:hAnsi="宋体"/>
                <w:color w:val="000000"/>
                <w:sz w:val="18"/>
                <w:szCs w:val="21"/>
                <w:highlight w:val="none"/>
              </w:rPr>
              <w:t>按工程施工阶段投入劳动力情况</w:t>
            </w:r>
          </w:p>
        </w:tc>
      </w:tr>
      <w:tr w14:paraId="4954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FA32627">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95E6C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DFEAC3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3D093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07BE18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30A825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253F8B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1EE378">
            <w:pPr>
              <w:tabs>
                <w:tab w:val="center" w:pos="4153"/>
                <w:tab w:val="right" w:pos="8306"/>
              </w:tabs>
              <w:snapToGrid w:val="0"/>
              <w:jc w:val="center"/>
              <w:rPr>
                <w:rFonts w:ascii="宋体" w:hAnsi="宋体"/>
                <w:color w:val="000000"/>
                <w:sz w:val="18"/>
                <w:szCs w:val="21"/>
                <w:highlight w:val="none"/>
              </w:rPr>
            </w:pPr>
          </w:p>
        </w:tc>
      </w:tr>
      <w:tr w14:paraId="0D1C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FF37D8F">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D31ED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77E547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6479F3F">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C20BDE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FC35B9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2DC1EA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2896DDC">
            <w:pPr>
              <w:tabs>
                <w:tab w:val="center" w:pos="4153"/>
                <w:tab w:val="right" w:pos="8306"/>
              </w:tabs>
              <w:snapToGrid w:val="0"/>
              <w:jc w:val="center"/>
              <w:rPr>
                <w:rFonts w:ascii="宋体" w:hAnsi="宋体"/>
                <w:color w:val="000000"/>
                <w:sz w:val="18"/>
                <w:szCs w:val="21"/>
                <w:highlight w:val="none"/>
              </w:rPr>
            </w:pPr>
          </w:p>
        </w:tc>
      </w:tr>
      <w:tr w14:paraId="1297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35C7FE3">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783A6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CA8496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C74D73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22B3C0D">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64D26D">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4715E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BB7F299">
            <w:pPr>
              <w:tabs>
                <w:tab w:val="center" w:pos="4153"/>
                <w:tab w:val="right" w:pos="8306"/>
              </w:tabs>
              <w:snapToGrid w:val="0"/>
              <w:jc w:val="center"/>
              <w:rPr>
                <w:rFonts w:ascii="宋体" w:hAnsi="宋体"/>
                <w:color w:val="000000"/>
                <w:sz w:val="18"/>
                <w:szCs w:val="21"/>
                <w:highlight w:val="none"/>
              </w:rPr>
            </w:pPr>
          </w:p>
        </w:tc>
      </w:tr>
      <w:tr w14:paraId="4A3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FD9AD">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7C9D1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AADBCC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33B898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2812EDD">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9D983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B5EE93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15C82F7">
            <w:pPr>
              <w:tabs>
                <w:tab w:val="center" w:pos="4153"/>
                <w:tab w:val="right" w:pos="8306"/>
              </w:tabs>
              <w:snapToGrid w:val="0"/>
              <w:jc w:val="center"/>
              <w:rPr>
                <w:rFonts w:ascii="宋体" w:hAnsi="宋体"/>
                <w:color w:val="000000"/>
                <w:sz w:val="18"/>
                <w:szCs w:val="21"/>
                <w:highlight w:val="none"/>
              </w:rPr>
            </w:pPr>
          </w:p>
        </w:tc>
      </w:tr>
      <w:tr w14:paraId="0387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599851">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447F3E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AFC196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F42CB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F41CB1F">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FA855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81E79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096C2B">
            <w:pPr>
              <w:tabs>
                <w:tab w:val="center" w:pos="4153"/>
                <w:tab w:val="right" w:pos="8306"/>
              </w:tabs>
              <w:snapToGrid w:val="0"/>
              <w:jc w:val="center"/>
              <w:rPr>
                <w:rFonts w:ascii="宋体" w:hAnsi="宋体"/>
                <w:color w:val="000000"/>
                <w:sz w:val="18"/>
                <w:szCs w:val="21"/>
                <w:highlight w:val="none"/>
              </w:rPr>
            </w:pPr>
          </w:p>
        </w:tc>
      </w:tr>
      <w:tr w14:paraId="51EB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ED1AD5">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6BCF0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D007F7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23E1CB">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2A15CC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F0A51DE">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394693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172812D">
            <w:pPr>
              <w:tabs>
                <w:tab w:val="center" w:pos="4153"/>
                <w:tab w:val="right" w:pos="8306"/>
              </w:tabs>
              <w:snapToGrid w:val="0"/>
              <w:jc w:val="center"/>
              <w:rPr>
                <w:rFonts w:ascii="宋体" w:hAnsi="宋体"/>
                <w:color w:val="000000"/>
                <w:sz w:val="18"/>
                <w:szCs w:val="21"/>
                <w:highlight w:val="none"/>
              </w:rPr>
            </w:pPr>
          </w:p>
        </w:tc>
      </w:tr>
      <w:tr w14:paraId="01B3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D82B07">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021E58">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3986DCB">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C88AD6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D7CE6C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6FB9D5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C34F6E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BA42E2C">
            <w:pPr>
              <w:tabs>
                <w:tab w:val="center" w:pos="4153"/>
                <w:tab w:val="right" w:pos="8306"/>
              </w:tabs>
              <w:snapToGrid w:val="0"/>
              <w:jc w:val="center"/>
              <w:rPr>
                <w:rFonts w:ascii="宋体" w:hAnsi="宋体"/>
                <w:color w:val="000000"/>
                <w:sz w:val="18"/>
                <w:szCs w:val="21"/>
                <w:highlight w:val="none"/>
              </w:rPr>
            </w:pPr>
          </w:p>
        </w:tc>
      </w:tr>
      <w:tr w14:paraId="643E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4AB32FD">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BF951E">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F84F5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3FA64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8DA3A9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31A3B58">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31B75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0DA6015">
            <w:pPr>
              <w:tabs>
                <w:tab w:val="center" w:pos="4153"/>
                <w:tab w:val="right" w:pos="8306"/>
              </w:tabs>
              <w:snapToGrid w:val="0"/>
              <w:jc w:val="center"/>
              <w:rPr>
                <w:rFonts w:ascii="宋体" w:hAnsi="宋体"/>
                <w:color w:val="000000"/>
                <w:sz w:val="18"/>
                <w:szCs w:val="21"/>
                <w:highlight w:val="none"/>
              </w:rPr>
            </w:pPr>
          </w:p>
        </w:tc>
      </w:tr>
      <w:tr w14:paraId="20B3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EA8751">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32D4C0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C75C6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D6ED6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6C0FA2E">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623C2D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5DD7D63">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216026F">
            <w:pPr>
              <w:tabs>
                <w:tab w:val="center" w:pos="4153"/>
                <w:tab w:val="right" w:pos="8306"/>
              </w:tabs>
              <w:snapToGrid w:val="0"/>
              <w:jc w:val="center"/>
              <w:rPr>
                <w:rFonts w:ascii="宋体" w:hAnsi="宋体"/>
                <w:color w:val="000000"/>
                <w:sz w:val="18"/>
                <w:szCs w:val="21"/>
                <w:highlight w:val="none"/>
              </w:rPr>
            </w:pPr>
          </w:p>
        </w:tc>
      </w:tr>
      <w:tr w14:paraId="016E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84B734">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726DA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35698F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1E9314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0788C6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DDD53CE">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F5EB6C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3763C5">
            <w:pPr>
              <w:tabs>
                <w:tab w:val="center" w:pos="4153"/>
                <w:tab w:val="right" w:pos="8306"/>
              </w:tabs>
              <w:snapToGrid w:val="0"/>
              <w:jc w:val="center"/>
              <w:rPr>
                <w:rFonts w:ascii="宋体" w:hAnsi="宋体"/>
                <w:color w:val="000000"/>
                <w:sz w:val="18"/>
                <w:szCs w:val="21"/>
                <w:highlight w:val="none"/>
              </w:rPr>
            </w:pPr>
          </w:p>
        </w:tc>
      </w:tr>
      <w:tr w14:paraId="0229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AD75229">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F747C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E8BB02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F67A38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12F128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8FB34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32174B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3FBE378">
            <w:pPr>
              <w:tabs>
                <w:tab w:val="center" w:pos="4153"/>
                <w:tab w:val="right" w:pos="8306"/>
              </w:tabs>
              <w:snapToGrid w:val="0"/>
              <w:jc w:val="center"/>
              <w:rPr>
                <w:rFonts w:ascii="宋体" w:hAnsi="宋体"/>
                <w:color w:val="000000"/>
                <w:sz w:val="18"/>
                <w:szCs w:val="21"/>
                <w:highlight w:val="none"/>
              </w:rPr>
            </w:pPr>
          </w:p>
        </w:tc>
      </w:tr>
      <w:tr w14:paraId="79E9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5658A34">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436BFEB">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D0F9C03">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700B3BE">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CB9523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530853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CA9D513">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40DD4EC">
            <w:pPr>
              <w:tabs>
                <w:tab w:val="center" w:pos="4153"/>
                <w:tab w:val="right" w:pos="8306"/>
              </w:tabs>
              <w:snapToGrid w:val="0"/>
              <w:jc w:val="center"/>
              <w:rPr>
                <w:rFonts w:ascii="宋体" w:hAnsi="宋体"/>
                <w:color w:val="000000"/>
                <w:sz w:val="18"/>
                <w:szCs w:val="21"/>
                <w:highlight w:val="none"/>
              </w:rPr>
            </w:pPr>
          </w:p>
        </w:tc>
      </w:tr>
      <w:tr w14:paraId="1F7C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0C8444">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ACCE9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F848D4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872AB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8393C0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DAB5C8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A60F513">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735F056">
            <w:pPr>
              <w:tabs>
                <w:tab w:val="center" w:pos="4153"/>
                <w:tab w:val="right" w:pos="8306"/>
              </w:tabs>
              <w:snapToGrid w:val="0"/>
              <w:jc w:val="center"/>
              <w:rPr>
                <w:rFonts w:ascii="宋体" w:hAnsi="宋体"/>
                <w:color w:val="000000"/>
                <w:sz w:val="18"/>
                <w:szCs w:val="21"/>
                <w:highlight w:val="none"/>
              </w:rPr>
            </w:pPr>
          </w:p>
        </w:tc>
      </w:tr>
      <w:tr w14:paraId="02C2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D099C5">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AE414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8D6B458">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E09827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D2BB5C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25A8401">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C56F79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5D3CF98">
            <w:pPr>
              <w:tabs>
                <w:tab w:val="center" w:pos="4153"/>
                <w:tab w:val="right" w:pos="8306"/>
              </w:tabs>
              <w:snapToGrid w:val="0"/>
              <w:jc w:val="center"/>
              <w:rPr>
                <w:rFonts w:ascii="宋体" w:hAnsi="宋体"/>
                <w:color w:val="000000"/>
                <w:sz w:val="18"/>
                <w:szCs w:val="21"/>
                <w:highlight w:val="none"/>
              </w:rPr>
            </w:pPr>
          </w:p>
        </w:tc>
      </w:tr>
      <w:tr w14:paraId="7CB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7BE925">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4C7B7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DD7E41">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36D7A18">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5A3FA6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67169F1">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7321F8">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E63C904">
            <w:pPr>
              <w:tabs>
                <w:tab w:val="center" w:pos="4153"/>
                <w:tab w:val="right" w:pos="8306"/>
              </w:tabs>
              <w:snapToGrid w:val="0"/>
              <w:jc w:val="center"/>
              <w:rPr>
                <w:rFonts w:ascii="宋体" w:hAnsi="宋体"/>
                <w:color w:val="000000"/>
                <w:sz w:val="18"/>
                <w:szCs w:val="21"/>
                <w:highlight w:val="none"/>
              </w:rPr>
            </w:pPr>
          </w:p>
        </w:tc>
      </w:tr>
      <w:tr w14:paraId="6E17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F1B9425">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293243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7295D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415F94D">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5E577E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F40BB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D6D2E5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39C9C96">
            <w:pPr>
              <w:tabs>
                <w:tab w:val="center" w:pos="4153"/>
                <w:tab w:val="right" w:pos="8306"/>
              </w:tabs>
              <w:snapToGrid w:val="0"/>
              <w:jc w:val="center"/>
              <w:rPr>
                <w:rFonts w:ascii="宋体" w:hAnsi="宋体"/>
                <w:color w:val="000000"/>
                <w:sz w:val="18"/>
                <w:szCs w:val="21"/>
                <w:highlight w:val="none"/>
              </w:rPr>
            </w:pPr>
          </w:p>
        </w:tc>
      </w:tr>
      <w:tr w14:paraId="6439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90D8B35">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9E4E1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CF91F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D83FC2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8F1A11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CAA8D2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7A57D11">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76D016D">
            <w:pPr>
              <w:tabs>
                <w:tab w:val="center" w:pos="4153"/>
                <w:tab w:val="right" w:pos="8306"/>
              </w:tabs>
              <w:snapToGrid w:val="0"/>
              <w:jc w:val="center"/>
              <w:rPr>
                <w:rFonts w:ascii="宋体" w:hAnsi="宋体"/>
                <w:color w:val="000000"/>
                <w:sz w:val="18"/>
                <w:szCs w:val="21"/>
                <w:highlight w:val="none"/>
              </w:rPr>
            </w:pPr>
          </w:p>
        </w:tc>
      </w:tr>
      <w:tr w14:paraId="5D38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8E4FDA">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DB4D2D">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3D6857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2624B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4290D18">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5B42A8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FC6B1F">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4915ADD">
            <w:pPr>
              <w:tabs>
                <w:tab w:val="center" w:pos="4153"/>
                <w:tab w:val="right" w:pos="8306"/>
              </w:tabs>
              <w:snapToGrid w:val="0"/>
              <w:jc w:val="center"/>
              <w:rPr>
                <w:rFonts w:ascii="宋体" w:hAnsi="宋体"/>
                <w:color w:val="000000"/>
                <w:sz w:val="18"/>
                <w:szCs w:val="21"/>
                <w:highlight w:val="none"/>
              </w:rPr>
            </w:pPr>
          </w:p>
        </w:tc>
      </w:tr>
      <w:tr w14:paraId="7F38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0F04BA4">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A578B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32169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139DDA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064A58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08E75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FACFA0B">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0EECD2">
            <w:pPr>
              <w:tabs>
                <w:tab w:val="center" w:pos="4153"/>
                <w:tab w:val="right" w:pos="8306"/>
              </w:tabs>
              <w:snapToGrid w:val="0"/>
              <w:jc w:val="center"/>
              <w:rPr>
                <w:rFonts w:ascii="宋体" w:hAnsi="宋体"/>
                <w:color w:val="000000"/>
                <w:sz w:val="18"/>
                <w:szCs w:val="21"/>
                <w:highlight w:val="none"/>
              </w:rPr>
            </w:pPr>
          </w:p>
        </w:tc>
      </w:tr>
      <w:tr w14:paraId="27D4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3DEB849">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83E1A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9D9EBAE">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10C0CD">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48D72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E66464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01C49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772F559">
            <w:pPr>
              <w:tabs>
                <w:tab w:val="center" w:pos="4153"/>
                <w:tab w:val="right" w:pos="8306"/>
              </w:tabs>
              <w:snapToGrid w:val="0"/>
              <w:jc w:val="center"/>
              <w:rPr>
                <w:rFonts w:ascii="宋体" w:hAnsi="宋体"/>
                <w:color w:val="000000"/>
                <w:sz w:val="18"/>
                <w:szCs w:val="21"/>
                <w:highlight w:val="none"/>
              </w:rPr>
            </w:pPr>
          </w:p>
        </w:tc>
      </w:tr>
      <w:tr w14:paraId="3158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C20ACD">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42422F">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6FB76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95B94AF">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3C1469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FDE083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54FA28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0705034">
            <w:pPr>
              <w:tabs>
                <w:tab w:val="center" w:pos="4153"/>
                <w:tab w:val="right" w:pos="8306"/>
              </w:tabs>
              <w:snapToGrid w:val="0"/>
              <w:jc w:val="center"/>
              <w:rPr>
                <w:rFonts w:ascii="宋体" w:hAnsi="宋体"/>
                <w:color w:val="000000"/>
                <w:sz w:val="18"/>
                <w:szCs w:val="21"/>
                <w:highlight w:val="none"/>
              </w:rPr>
            </w:pPr>
          </w:p>
        </w:tc>
      </w:tr>
      <w:tr w14:paraId="5A3C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4D5291C">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9B9736">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83E4FB">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B27A50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4D6B4C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8C36E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03566A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0D5FD2E">
            <w:pPr>
              <w:tabs>
                <w:tab w:val="center" w:pos="4153"/>
                <w:tab w:val="right" w:pos="8306"/>
              </w:tabs>
              <w:snapToGrid w:val="0"/>
              <w:jc w:val="center"/>
              <w:rPr>
                <w:rFonts w:ascii="宋体" w:hAnsi="宋体"/>
                <w:color w:val="000000"/>
                <w:sz w:val="18"/>
                <w:szCs w:val="21"/>
                <w:highlight w:val="none"/>
              </w:rPr>
            </w:pPr>
          </w:p>
        </w:tc>
      </w:tr>
      <w:tr w14:paraId="47AB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08A0AD">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67AF3">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25A59F">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44BC811">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B855A3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3F2A9D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1E81AE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8DBC56D">
            <w:pPr>
              <w:tabs>
                <w:tab w:val="center" w:pos="4153"/>
                <w:tab w:val="right" w:pos="8306"/>
              </w:tabs>
              <w:snapToGrid w:val="0"/>
              <w:jc w:val="center"/>
              <w:rPr>
                <w:rFonts w:ascii="宋体" w:hAnsi="宋体"/>
                <w:color w:val="000000"/>
                <w:sz w:val="18"/>
                <w:szCs w:val="21"/>
                <w:highlight w:val="none"/>
              </w:rPr>
            </w:pPr>
          </w:p>
        </w:tc>
      </w:tr>
      <w:tr w14:paraId="6594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3CD112">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852012">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5A479F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8BE77A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52B0BF4">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68C2868">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8F4347">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5F0A41E">
            <w:pPr>
              <w:tabs>
                <w:tab w:val="center" w:pos="4153"/>
                <w:tab w:val="right" w:pos="8306"/>
              </w:tabs>
              <w:snapToGrid w:val="0"/>
              <w:jc w:val="center"/>
              <w:rPr>
                <w:rFonts w:ascii="宋体" w:hAnsi="宋体"/>
                <w:color w:val="000000"/>
                <w:sz w:val="18"/>
                <w:szCs w:val="21"/>
                <w:highlight w:val="none"/>
              </w:rPr>
            </w:pPr>
          </w:p>
        </w:tc>
      </w:tr>
      <w:tr w14:paraId="7339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915E26E">
            <w:pPr>
              <w:tabs>
                <w:tab w:val="center" w:pos="4153"/>
                <w:tab w:val="right" w:pos="8306"/>
              </w:tabs>
              <w:snapToGrid w:val="0"/>
              <w:jc w:val="center"/>
              <w:rPr>
                <w:rFonts w:ascii="宋体" w:hAnsi="宋体"/>
                <w:color w:val="000000"/>
                <w:sz w:val="18"/>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0DD523">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3ACC909">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CCF7D8C">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567E14A">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18EBD0">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3E84C35">
            <w:pPr>
              <w:tabs>
                <w:tab w:val="center" w:pos="4153"/>
                <w:tab w:val="right" w:pos="8306"/>
              </w:tabs>
              <w:snapToGrid w:val="0"/>
              <w:jc w:val="center"/>
              <w:rPr>
                <w:rFonts w:ascii="宋体" w:hAnsi="宋体"/>
                <w:color w:val="000000"/>
                <w:sz w:val="18"/>
                <w:szCs w:val="21"/>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3714E6F">
            <w:pPr>
              <w:tabs>
                <w:tab w:val="center" w:pos="4153"/>
                <w:tab w:val="right" w:pos="8306"/>
              </w:tabs>
              <w:snapToGrid w:val="0"/>
              <w:jc w:val="center"/>
              <w:rPr>
                <w:rFonts w:ascii="宋体" w:hAnsi="宋体"/>
                <w:color w:val="000000"/>
                <w:sz w:val="18"/>
                <w:szCs w:val="21"/>
                <w:highlight w:val="none"/>
              </w:rPr>
            </w:pPr>
          </w:p>
        </w:tc>
      </w:tr>
    </w:tbl>
    <w:p w14:paraId="4CD2FE4F">
      <w:pPr>
        <w:spacing w:line="420" w:lineRule="exact"/>
        <w:rPr>
          <w:rFonts w:hint="eastAsia" w:ascii="宋体" w:hAnsi="宋体"/>
          <w:color w:val="000000"/>
          <w:szCs w:val="21"/>
          <w:highlight w:val="none"/>
        </w:rPr>
      </w:pPr>
    </w:p>
    <w:p w14:paraId="1F3E2226">
      <w:pPr>
        <w:spacing w:before="156" w:beforeLines="50" w:after="312" w:afterLines="100" w:line="420" w:lineRule="exact"/>
        <w:rPr>
          <w:rFonts w:hint="eastAsia" w:ascii="黑体" w:hAnsi="宋体" w:eastAsia="黑体"/>
          <w:color w:val="000000"/>
          <w:sz w:val="24"/>
          <w:highlight w:val="none"/>
        </w:rPr>
      </w:pPr>
      <w:r>
        <w:rPr>
          <w:rFonts w:hint="eastAsia" w:ascii="宋体" w:hAnsi="宋体"/>
          <w:color w:val="000000"/>
          <w:szCs w:val="21"/>
          <w:highlight w:val="none"/>
        </w:rPr>
        <w:br w:type="page"/>
      </w:r>
      <w:r>
        <w:rPr>
          <w:rFonts w:hint="eastAsia" w:ascii="黑体" w:hAnsi="宋体" w:eastAsia="黑体"/>
          <w:color w:val="000000"/>
          <w:sz w:val="24"/>
          <w:highlight w:val="none"/>
        </w:rPr>
        <w:t>附表四：计划开、竣工日期和施工进度网络图</w:t>
      </w:r>
    </w:p>
    <w:p w14:paraId="3260881C">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1．投标人应递交施工进度网络图或施工进度表，说明按招标文件要求的计划工期进行施工的各个关键日期。</w:t>
      </w:r>
    </w:p>
    <w:p w14:paraId="72F8CFC8">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2．施工进度表可采用网络图和（或）横道图表示。</w:t>
      </w:r>
    </w:p>
    <w:p w14:paraId="7F433984">
      <w:pPr>
        <w:spacing w:before="156" w:beforeLines="50" w:after="312" w:afterLines="100" w:line="420" w:lineRule="exact"/>
        <w:rPr>
          <w:rFonts w:hint="eastAsia" w:ascii="宋体" w:hAnsi="宋体"/>
          <w:color w:val="000000"/>
          <w:szCs w:val="21"/>
          <w:highlight w:val="none"/>
        </w:rPr>
      </w:pPr>
      <w:r>
        <w:rPr>
          <w:rFonts w:hint="eastAsia" w:ascii="宋体" w:hAnsi="宋体"/>
          <w:color w:val="000000"/>
          <w:szCs w:val="21"/>
          <w:highlight w:val="none"/>
        </w:rPr>
        <w:br w:type="page"/>
      </w:r>
      <w:r>
        <w:rPr>
          <w:rFonts w:hint="eastAsia" w:ascii="黑体" w:hAnsi="宋体" w:eastAsia="黑体"/>
          <w:color w:val="000000"/>
          <w:sz w:val="24"/>
          <w:highlight w:val="none"/>
        </w:rPr>
        <w:t>附表五：施工总平面图</w:t>
      </w:r>
    </w:p>
    <w:p w14:paraId="34297293">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投标人应递交一份施工总平面图，绘出现场临时设施布置图表并附文字说明，说明临时设施、加工车间、现场办公、设备及仓储、供电、供水、卫生、生活、道路、消防等设施的情况和布置。</w:t>
      </w:r>
    </w:p>
    <w:p w14:paraId="52FFD017">
      <w:pPr>
        <w:spacing w:before="156" w:beforeLines="50" w:after="312" w:afterLines="100" w:line="420" w:lineRule="exact"/>
        <w:rPr>
          <w:rFonts w:hint="eastAsia" w:ascii="宋体" w:hAnsi="宋体"/>
          <w:color w:val="000000"/>
          <w:szCs w:val="21"/>
          <w:highlight w:val="none"/>
        </w:rPr>
      </w:pPr>
    </w:p>
    <w:p w14:paraId="740591F1">
      <w:pPr>
        <w:spacing w:before="156" w:beforeLines="50" w:after="156" w:afterLines="50" w:line="420" w:lineRule="exact"/>
        <w:outlineLvl w:val="0"/>
        <w:rPr>
          <w:rFonts w:hint="eastAsia" w:ascii="宋体" w:hAnsi="宋体"/>
          <w:color w:val="000000"/>
          <w:szCs w:val="21"/>
          <w:highlight w:val="none"/>
        </w:rPr>
      </w:pPr>
    </w:p>
    <w:p w14:paraId="33E08145">
      <w:pPr>
        <w:spacing w:before="156" w:beforeLines="50" w:after="156" w:afterLines="50" w:line="420" w:lineRule="exact"/>
        <w:outlineLvl w:val="0"/>
        <w:rPr>
          <w:rFonts w:hint="eastAsia" w:ascii="宋体" w:hAnsi="宋体"/>
          <w:color w:val="000000"/>
          <w:szCs w:val="21"/>
          <w:highlight w:val="none"/>
        </w:rPr>
      </w:pPr>
    </w:p>
    <w:p w14:paraId="6A0FEBC2">
      <w:pPr>
        <w:spacing w:before="156" w:beforeLines="50" w:after="156" w:afterLines="50" w:line="420" w:lineRule="exact"/>
        <w:outlineLvl w:val="0"/>
        <w:rPr>
          <w:rFonts w:hint="eastAsia" w:ascii="宋体" w:hAnsi="宋体"/>
          <w:color w:val="000000"/>
          <w:szCs w:val="21"/>
          <w:highlight w:val="none"/>
        </w:rPr>
      </w:pPr>
    </w:p>
    <w:p w14:paraId="62FEFAF8">
      <w:pPr>
        <w:spacing w:before="156" w:beforeLines="50" w:after="156" w:afterLines="50" w:line="420" w:lineRule="exact"/>
        <w:outlineLvl w:val="0"/>
        <w:rPr>
          <w:rFonts w:hint="eastAsia" w:ascii="宋体" w:hAnsi="宋体"/>
          <w:color w:val="000000"/>
          <w:szCs w:val="21"/>
          <w:highlight w:val="none"/>
        </w:rPr>
      </w:pPr>
    </w:p>
    <w:p w14:paraId="35775230">
      <w:pPr>
        <w:spacing w:before="156" w:beforeLines="50" w:after="156" w:afterLines="50" w:line="420" w:lineRule="exact"/>
        <w:outlineLvl w:val="0"/>
        <w:rPr>
          <w:rFonts w:hint="eastAsia" w:ascii="宋体" w:hAnsi="宋体"/>
          <w:color w:val="000000"/>
          <w:szCs w:val="21"/>
          <w:highlight w:val="none"/>
        </w:rPr>
      </w:pPr>
    </w:p>
    <w:p w14:paraId="19BAC4D6">
      <w:pPr>
        <w:spacing w:before="156" w:beforeLines="50" w:after="156" w:afterLines="50" w:line="420" w:lineRule="exact"/>
        <w:outlineLvl w:val="0"/>
        <w:rPr>
          <w:rFonts w:hint="eastAsia" w:ascii="宋体" w:hAnsi="宋体"/>
          <w:color w:val="000000"/>
          <w:szCs w:val="21"/>
          <w:highlight w:val="none"/>
        </w:rPr>
      </w:pPr>
    </w:p>
    <w:p w14:paraId="5538CEB9">
      <w:pPr>
        <w:spacing w:before="156" w:beforeLines="50" w:after="156" w:afterLines="50" w:line="420" w:lineRule="exact"/>
        <w:outlineLvl w:val="0"/>
        <w:rPr>
          <w:rFonts w:hint="eastAsia" w:ascii="宋体" w:hAnsi="宋体"/>
          <w:color w:val="000000"/>
          <w:szCs w:val="21"/>
          <w:highlight w:val="none"/>
        </w:rPr>
      </w:pPr>
    </w:p>
    <w:p w14:paraId="7448DBEF">
      <w:pPr>
        <w:spacing w:before="156" w:beforeLines="50" w:after="156" w:afterLines="50" w:line="420" w:lineRule="exact"/>
        <w:outlineLvl w:val="0"/>
        <w:rPr>
          <w:rFonts w:hint="eastAsia" w:ascii="宋体" w:hAnsi="宋体"/>
          <w:color w:val="000000"/>
          <w:szCs w:val="21"/>
          <w:highlight w:val="none"/>
        </w:rPr>
      </w:pPr>
    </w:p>
    <w:p w14:paraId="520D8761">
      <w:pPr>
        <w:spacing w:before="156" w:beforeLines="50" w:after="156" w:afterLines="50" w:line="420" w:lineRule="exact"/>
        <w:outlineLvl w:val="0"/>
        <w:rPr>
          <w:rFonts w:hint="eastAsia" w:ascii="宋体" w:hAnsi="宋体"/>
          <w:color w:val="000000"/>
          <w:szCs w:val="21"/>
          <w:highlight w:val="none"/>
        </w:rPr>
      </w:pPr>
    </w:p>
    <w:p w14:paraId="2E2D78A0">
      <w:pPr>
        <w:spacing w:before="156" w:beforeLines="50" w:after="156" w:afterLines="50" w:line="420" w:lineRule="exact"/>
        <w:outlineLvl w:val="0"/>
        <w:rPr>
          <w:rFonts w:hint="eastAsia" w:ascii="宋体" w:hAnsi="宋体"/>
          <w:color w:val="000000"/>
          <w:szCs w:val="21"/>
          <w:highlight w:val="none"/>
        </w:rPr>
      </w:pPr>
    </w:p>
    <w:p w14:paraId="600F303A">
      <w:pPr>
        <w:spacing w:before="156" w:beforeLines="50" w:after="156" w:afterLines="50" w:line="420" w:lineRule="exact"/>
        <w:outlineLvl w:val="0"/>
        <w:rPr>
          <w:rFonts w:hint="eastAsia" w:ascii="宋体" w:hAnsi="宋体"/>
          <w:color w:val="000000"/>
          <w:szCs w:val="21"/>
          <w:highlight w:val="none"/>
        </w:rPr>
      </w:pPr>
    </w:p>
    <w:p w14:paraId="535262A2">
      <w:pPr>
        <w:spacing w:before="156" w:beforeLines="50" w:after="156" w:afterLines="50" w:line="420" w:lineRule="exact"/>
        <w:outlineLvl w:val="0"/>
        <w:rPr>
          <w:rFonts w:hint="eastAsia" w:ascii="宋体" w:hAnsi="宋体"/>
          <w:color w:val="000000"/>
          <w:szCs w:val="21"/>
          <w:highlight w:val="none"/>
        </w:rPr>
      </w:pPr>
    </w:p>
    <w:p w14:paraId="5964D0E7">
      <w:pPr>
        <w:spacing w:before="156" w:beforeLines="50" w:after="156" w:afterLines="50" w:line="420" w:lineRule="exact"/>
        <w:outlineLvl w:val="0"/>
        <w:rPr>
          <w:rFonts w:hint="eastAsia" w:ascii="宋体" w:hAnsi="宋体"/>
          <w:color w:val="000000"/>
          <w:szCs w:val="21"/>
          <w:highlight w:val="none"/>
        </w:rPr>
      </w:pPr>
    </w:p>
    <w:p w14:paraId="5728D9FD">
      <w:pPr>
        <w:spacing w:before="156" w:beforeLines="50" w:after="156" w:afterLines="50" w:line="420" w:lineRule="exact"/>
        <w:outlineLvl w:val="0"/>
        <w:rPr>
          <w:rFonts w:hint="eastAsia" w:ascii="宋体" w:hAnsi="宋体"/>
          <w:color w:val="000000"/>
          <w:szCs w:val="21"/>
          <w:highlight w:val="none"/>
        </w:rPr>
      </w:pPr>
    </w:p>
    <w:p w14:paraId="287D2F12">
      <w:pPr>
        <w:spacing w:before="156" w:beforeLines="50" w:after="156" w:afterLines="50" w:line="420" w:lineRule="exact"/>
        <w:outlineLvl w:val="0"/>
        <w:rPr>
          <w:rFonts w:hint="eastAsia" w:ascii="宋体" w:hAnsi="宋体"/>
          <w:color w:val="000000"/>
          <w:szCs w:val="21"/>
          <w:highlight w:val="none"/>
        </w:rPr>
      </w:pPr>
    </w:p>
    <w:p w14:paraId="56FE6BAE">
      <w:pPr>
        <w:spacing w:before="156" w:beforeLines="50" w:after="156" w:afterLines="50" w:line="420" w:lineRule="exact"/>
        <w:outlineLvl w:val="0"/>
        <w:rPr>
          <w:rFonts w:hint="eastAsia" w:ascii="宋体" w:hAnsi="宋体"/>
          <w:color w:val="000000"/>
          <w:szCs w:val="21"/>
          <w:highlight w:val="none"/>
        </w:rPr>
      </w:pPr>
    </w:p>
    <w:p w14:paraId="20BBBA2D">
      <w:pPr>
        <w:spacing w:before="156" w:beforeLines="50" w:after="156" w:afterLines="50" w:line="420" w:lineRule="exact"/>
        <w:outlineLvl w:val="0"/>
        <w:rPr>
          <w:rFonts w:hint="eastAsia" w:ascii="宋体" w:hAnsi="宋体"/>
          <w:color w:val="000000"/>
          <w:szCs w:val="21"/>
          <w:highlight w:val="none"/>
        </w:rPr>
      </w:pPr>
    </w:p>
    <w:p w14:paraId="27E012CD">
      <w:pPr>
        <w:spacing w:before="156" w:beforeLines="50" w:after="156" w:afterLines="50" w:line="420" w:lineRule="exact"/>
        <w:outlineLvl w:val="0"/>
        <w:rPr>
          <w:rFonts w:hint="eastAsia" w:ascii="宋体" w:hAnsi="宋体"/>
          <w:color w:val="000000"/>
          <w:szCs w:val="21"/>
          <w:highlight w:val="none"/>
        </w:rPr>
      </w:pPr>
    </w:p>
    <w:p w14:paraId="7B629F60">
      <w:pPr>
        <w:spacing w:before="156" w:beforeLines="50" w:after="156" w:afterLines="50" w:line="420" w:lineRule="exact"/>
        <w:outlineLvl w:val="0"/>
        <w:rPr>
          <w:rFonts w:hint="eastAsia" w:ascii="宋体" w:hAnsi="宋体"/>
          <w:color w:val="000000"/>
          <w:szCs w:val="21"/>
          <w:highlight w:val="none"/>
        </w:rPr>
      </w:pPr>
    </w:p>
    <w:p w14:paraId="1E55290B">
      <w:pPr>
        <w:spacing w:before="156" w:beforeLines="50" w:after="156" w:afterLines="50" w:line="420" w:lineRule="exact"/>
        <w:outlineLvl w:val="0"/>
        <w:rPr>
          <w:rFonts w:hint="eastAsia" w:ascii="宋体" w:hAnsi="宋体"/>
          <w:color w:val="000000"/>
          <w:szCs w:val="21"/>
          <w:highlight w:val="none"/>
        </w:rPr>
      </w:pPr>
    </w:p>
    <w:p w14:paraId="12D305B8">
      <w:pPr>
        <w:spacing w:before="156" w:beforeLines="50" w:after="312" w:afterLines="100" w:line="420" w:lineRule="exact"/>
        <w:rPr>
          <w:rFonts w:hint="eastAsia" w:ascii="黑体" w:hAnsi="宋体" w:eastAsia="黑体"/>
          <w:color w:val="000000"/>
          <w:sz w:val="24"/>
          <w:highlight w:val="none"/>
        </w:rPr>
      </w:pPr>
      <w:r>
        <w:rPr>
          <w:rFonts w:hint="eastAsia" w:ascii="黑体" w:hAnsi="宋体" w:eastAsia="黑体"/>
          <w:color w:val="000000"/>
          <w:sz w:val="24"/>
          <w:highlight w:val="none"/>
        </w:rPr>
        <w:t>附表六：临时用地表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51F5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03C39EB0">
            <w:pPr>
              <w:jc w:val="center"/>
              <w:rPr>
                <w:rFonts w:ascii="宋体" w:hAnsi="宋体"/>
                <w:color w:val="000000"/>
                <w:szCs w:val="21"/>
                <w:highlight w:val="none"/>
              </w:rPr>
            </w:pPr>
            <w:r>
              <w:rPr>
                <w:rFonts w:hint="eastAsia" w:ascii="宋体" w:hAnsi="宋体"/>
                <w:color w:val="000000"/>
                <w:szCs w:val="21"/>
                <w:highlight w:val="none"/>
              </w:rPr>
              <w:t>用  途</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811A888">
            <w:pPr>
              <w:jc w:val="center"/>
              <w:rPr>
                <w:rFonts w:ascii="宋体" w:hAnsi="宋体"/>
                <w:color w:val="000000"/>
                <w:szCs w:val="21"/>
                <w:highlight w:val="none"/>
              </w:rPr>
            </w:pPr>
            <w:r>
              <w:rPr>
                <w:rFonts w:hint="eastAsia" w:ascii="宋体" w:hAnsi="宋体"/>
                <w:color w:val="000000"/>
                <w:szCs w:val="21"/>
                <w:highlight w:val="none"/>
              </w:rPr>
              <w:t>面 积（平方米）</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A1CC603">
            <w:pPr>
              <w:jc w:val="center"/>
              <w:rPr>
                <w:rFonts w:ascii="宋体" w:hAnsi="宋体"/>
                <w:color w:val="000000"/>
                <w:szCs w:val="21"/>
                <w:highlight w:val="none"/>
              </w:rPr>
            </w:pPr>
            <w:r>
              <w:rPr>
                <w:rFonts w:hint="eastAsia" w:ascii="宋体" w:hAnsi="宋体"/>
                <w:color w:val="000000"/>
                <w:szCs w:val="21"/>
                <w:highlight w:val="none"/>
              </w:rPr>
              <w:t>位  置</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DEFD590">
            <w:pPr>
              <w:jc w:val="center"/>
              <w:rPr>
                <w:rFonts w:ascii="宋体" w:hAnsi="宋体"/>
                <w:color w:val="000000"/>
                <w:szCs w:val="21"/>
                <w:highlight w:val="none"/>
              </w:rPr>
            </w:pPr>
            <w:r>
              <w:rPr>
                <w:rFonts w:hint="eastAsia" w:ascii="宋体" w:hAnsi="宋体"/>
                <w:color w:val="000000"/>
                <w:szCs w:val="21"/>
                <w:highlight w:val="none"/>
              </w:rPr>
              <w:t>需用时间</w:t>
            </w:r>
          </w:p>
        </w:tc>
      </w:tr>
      <w:tr w14:paraId="7145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E28BA4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7185D55">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C3C5DE6">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2395A49">
            <w:pPr>
              <w:rPr>
                <w:rFonts w:ascii="宋体" w:hAnsi="宋体"/>
                <w:color w:val="000000"/>
                <w:szCs w:val="21"/>
                <w:highlight w:val="none"/>
              </w:rPr>
            </w:pPr>
          </w:p>
        </w:tc>
      </w:tr>
      <w:tr w14:paraId="0B7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18CB93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0ACD9E29">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5C5249E">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A010809">
            <w:pPr>
              <w:rPr>
                <w:rFonts w:ascii="宋体" w:hAnsi="宋体"/>
                <w:color w:val="000000"/>
                <w:szCs w:val="21"/>
                <w:highlight w:val="none"/>
              </w:rPr>
            </w:pPr>
          </w:p>
        </w:tc>
      </w:tr>
      <w:tr w14:paraId="4BE1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5EB9B8E">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DF9D885">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D11AFD9">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1294630">
            <w:pPr>
              <w:rPr>
                <w:rFonts w:ascii="宋体" w:hAnsi="宋体"/>
                <w:color w:val="000000"/>
                <w:szCs w:val="21"/>
                <w:highlight w:val="none"/>
              </w:rPr>
            </w:pPr>
          </w:p>
        </w:tc>
      </w:tr>
      <w:tr w14:paraId="7490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4FED02">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0D1B931">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B99E1B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EF202A8">
            <w:pPr>
              <w:rPr>
                <w:rFonts w:ascii="宋体" w:hAnsi="宋体"/>
                <w:color w:val="000000"/>
                <w:szCs w:val="21"/>
                <w:highlight w:val="none"/>
              </w:rPr>
            </w:pPr>
          </w:p>
        </w:tc>
      </w:tr>
      <w:tr w14:paraId="3B86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CCDF0C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630EE29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A64434A">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05A6DBE5">
            <w:pPr>
              <w:rPr>
                <w:rFonts w:ascii="宋体" w:hAnsi="宋体"/>
                <w:color w:val="000000"/>
                <w:szCs w:val="21"/>
                <w:highlight w:val="none"/>
              </w:rPr>
            </w:pPr>
          </w:p>
        </w:tc>
      </w:tr>
      <w:tr w14:paraId="7642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90948C9">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656A7D1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FBE27CF">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182E36D">
            <w:pPr>
              <w:rPr>
                <w:rFonts w:ascii="宋体" w:hAnsi="宋体"/>
                <w:color w:val="000000"/>
                <w:szCs w:val="21"/>
                <w:highlight w:val="none"/>
              </w:rPr>
            </w:pPr>
          </w:p>
        </w:tc>
      </w:tr>
      <w:tr w14:paraId="2BC7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700849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EDB43DF">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57B826D">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DE526EE">
            <w:pPr>
              <w:rPr>
                <w:rFonts w:ascii="宋体" w:hAnsi="宋体"/>
                <w:color w:val="000000"/>
                <w:szCs w:val="21"/>
                <w:highlight w:val="none"/>
              </w:rPr>
            </w:pPr>
          </w:p>
        </w:tc>
      </w:tr>
      <w:tr w14:paraId="5B18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C8F3461">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395AC9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0C90C7F">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6E703250">
            <w:pPr>
              <w:rPr>
                <w:rFonts w:ascii="宋体" w:hAnsi="宋体"/>
                <w:color w:val="000000"/>
                <w:szCs w:val="21"/>
                <w:highlight w:val="none"/>
              </w:rPr>
            </w:pPr>
          </w:p>
        </w:tc>
      </w:tr>
      <w:tr w14:paraId="41A2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3FBBA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0A89A29">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8A61306">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C2D43D9">
            <w:pPr>
              <w:rPr>
                <w:rFonts w:ascii="宋体" w:hAnsi="宋体"/>
                <w:color w:val="000000"/>
                <w:szCs w:val="21"/>
                <w:highlight w:val="none"/>
              </w:rPr>
            </w:pPr>
          </w:p>
        </w:tc>
      </w:tr>
      <w:tr w14:paraId="33CD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31B9ABB">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33E737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81CE280">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AE23623">
            <w:pPr>
              <w:rPr>
                <w:rFonts w:ascii="宋体" w:hAnsi="宋体"/>
                <w:color w:val="000000"/>
                <w:szCs w:val="21"/>
                <w:highlight w:val="none"/>
              </w:rPr>
            </w:pPr>
          </w:p>
        </w:tc>
      </w:tr>
      <w:tr w14:paraId="1D84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E69712E">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7627A8D">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28426E9">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47D0761">
            <w:pPr>
              <w:rPr>
                <w:rFonts w:ascii="宋体" w:hAnsi="宋体"/>
                <w:color w:val="000000"/>
                <w:szCs w:val="21"/>
                <w:highlight w:val="none"/>
              </w:rPr>
            </w:pPr>
          </w:p>
        </w:tc>
      </w:tr>
      <w:tr w14:paraId="3071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89DDB6">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C02FE93">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F264BE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000049CA">
            <w:pPr>
              <w:rPr>
                <w:rFonts w:ascii="宋体" w:hAnsi="宋体"/>
                <w:color w:val="000000"/>
                <w:szCs w:val="21"/>
                <w:highlight w:val="none"/>
              </w:rPr>
            </w:pPr>
          </w:p>
        </w:tc>
      </w:tr>
      <w:tr w14:paraId="30F3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003FB21">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1A3C1D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6B1E3E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69DA7DEB">
            <w:pPr>
              <w:rPr>
                <w:rFonts w:ascii="宋体" w:hAnsi="宋体"/>
                <w:color w:val="000000"/>
                <w:szCs w:val="21"/>
                <w:highlight w:val="none"/>
              </w:rPr>
            </w:pPr>
          </w:p>
        </w:tc>
      </w:tr>
      <w:tr w14:paraId="68DE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B9AA1C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1D13335">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66EA96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0B82DA1">
            <w:pPr>
              <w:rPr>
                <w:rFonts w:ascii="宋体" w:hAnsi="宋体"/>
                <w:color w:val="000000"/>
                <w:szCs w:val="21"/>
                <w:highlight w:val="none"/>
              </w:rPr>
            </w:pPr>
          </w:p>
        </w:tc>
      </w:tr>
      <w:tr w14:paraId="5299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9162DF">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65C08D93">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E95B563">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60782994">
            <w:pPr>
              <w:rPr>
                <w:rFonts w:ascii="宋体" w:hAnsi="宋体"/>
                <w:color w:val="000000"/>
                <w:szCs w:val="21"/>
                <w:highlight w:val="none"/>
              </w:rPr>
            </w:pPr>
          </w:p>
        </w:tc>
      </w:tr>
      <w:tr w14:paraId="304F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BC2AFEB">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682C346">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03A566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69B95E6">
            <w:pPr>
              <w:rPr>
                <w:rFonts w:ascii="宋体" w:hAnsi="宋体"/>
                <w:color w:val="000000"/>
                <w:szCs w:val="21"/>
                <w:highlight w:val="none"/>
              </w:rPr>
            </w:pPr>
          </w:p>
        </w:tc>
      </w:tr>
      <w:tr w14:paraId="1FCB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BB1BD6E">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F14A4AF">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68EF05D6">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F134F06">
            <w:pPr>
              <w:rPr>
                <w:rFonts w:ascii="宋体" w:hAnsi="宋体"/>
                <w:color w:val="000000"/>
                <w:szCs w:val="21"/>
                <w:highlight w:val="none"/>
              </w:rPr>
            </w:pPr>
          </w:p>
        </w:tc>
      </w:tr>
      <w:tr w14:paraId="1D47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30D5D6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0D4A49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DBA0FA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52E3B6A">
            <w:pPr>
              <w:rPr>
                <w:rFonts w:ascii="宋体" w:hAnsi="宋体"/>
                <w:color w:val="000000"/>
                <w:szCs w:val="21"/>
                <w:highlight w:val="none"/>
              </w:rPr>
            </w:pPr>
          </w:p>
        </w:tc>
      </w:tr>
      <w:tr w14:paraId="7B1B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BFBAE6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06537B0">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09E2A77">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1E20FE7">
            <w:pPr>
              <w:rPr>
                <w:rFonts w:ascii="宋体" w:hAnsi="宋体"/>
                <w:color w:val="000000"/>
                <w:szCs w:val="21"/>
                <w:highlight w:val="none"/>
              </w:rPr>
            </w:pPr>
          </w:p>
        </w:tc>
      </w:tr>
      <w:tr w14:paraId="606E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4E4EFD">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C921E92">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104BBFA">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7CF9B3D">
            <w:pPr>
              <w:rPr>
                <w:rFonts w:ascii="宋体" w:hAnsi="宋体"/>
                <w:color w:val="000000"/>
                <w:szCs w:val="21"/>
                <w:highlight w:val="none"/>
              </w:rPr>
            </w:pPr>
          </w:p>
        </w:tc>
      </w:tr>
      <w:tr w14:paraId="060A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B65A6F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0174DD32">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B994690">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7CB55C3">
            <w:pPr>
              <w:rPr>
                <w:rFonts w:ascii="宋体" w:hAnsi="宋体"/>
                <w:color w:val="000000"/>
                <w:szCs w:val="21"/>
                <w:highlight w:val="none"/>
              </w:rPr>
            </w:pPr>
          </w:p>
        </w:tc>
      </w:tr>
      <w:tr w14:paraId="0DF1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06A2AE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F8E547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D6B5A8E">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3A935C3">
            <w:pPr>
              <w:rPr>
                <w:rFonts w:ascii="宋体" w:hAnsi="宋体"/>
                <w:color w:val="000000"/>
                <w:szCs w:val="21"/>
                <w:highlight w:val="none"/>
              </w:rPr>
            </w:pPr>
          </w:p>
        </w:tc>
      </w:tr>
      <w:tr w14:paraId="0124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759FD4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A0816DA">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037CB9F8">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E9E332F">
            <w:pPr>
              <w:rPr>
                <w:rFonts w:ascii="宋体" w:hAnsi="宋体"/>
                <w:color w:val="000000"/>
                <w:szCs w:val="21"/>
                <w:highlight w:val="none"/>
              </w:rPr>
            </w:pPr>
          </w:p>
        </w:tc>
      </w:tr>
      <w:tr w14:paraId="2B84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A24889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ECAC21B">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A1272BD">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6528F61">
            <w:pPr>
              <w:rPr>
                <w:rFonts w:ascii="宋体" w:hAnsi="宋体"/>
                <w:color w:val="000000"/>
                <w:szCs w:val="21"/>
                <w:highlight w:val="none"/>
              </w:rPr>
            </w:pPr>
          </w:p>
        </w:tc>
      </w:tr>
      <w:tr w14:paraId="70F0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40CBCA9">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7250F0A">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CE8113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2CF56A2">
            <w:pPr>
              <w:rPr>
                <w:rFonts w:ascii="宋体" w:hAnsi="宋体"/>
                <w:color w:val="000000"/>
                <w:szCs w:val="21"/>
                <w:highlight w:val="none"/>
              </w:rPr>
            </w:pPr>
          </w:p>
        </w:tc>
      </w:tr>
      <w:tr w14:paraId="4AA2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2A4A5EE">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4CE5900B">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145C7EC">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B081B96">
            <w:pPr>
              <w:rPr>
                <w:rFonts w:ascii="宋体" w:hAnsi="宋体"/>
                <w:color w:val="000000"/>
                <w:szCs w:val="21"/>
                <w:highlight w:val="none"/>
              </w:rPr>
            </w:pPr>
          </w:p>
        </w:tc>
      </w:tr>
      <w:tr w14:paraId="213E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0EBADB2">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A728C4A">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4C17504">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278231E">
            <w:pPr>
              <w:rPr>
                <w:rFonts w:ascii="宋体" w:hAnsi="宋体"/>
                <w:color w:val="000000"/>
                <w:szCs w:val="21"/>
                <w:highlight w:val="none"/>
              </w:rPr>
            </w:pPr>
          </w:p>
        </w:tc>
      </w:tr>
      <w:tr w14:paraId="31F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46DECE6">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7ADC8BF7">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228FAF19">
            <w:pPr>
              <w:rPr>
                <w:rFonts w:ascii="宋体" w:hAnsi="宋体"/>
                <w:color w:val="000000"/>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34C63B9C">
            <w:pPr>
              <w:rPr>
                <w:rFonts w:ascii="宋体" w:hAnsi="宋体"/>
                <w:color w:val="000000"/>
                <w:szCs w:val="21"/>
                <w:highlight w:val="none"/>
              </w:rPr>
            </w:pPr>
          </w:p>
        </w:tc>
      </w:tr>
    </w:tbl>
    <w:p w14:paraId="4EA17907">
      <w:pPr>
        <w:spacing w:before="312" w:beforeLines="100" w:line="440" w:lineRule="exact"/>
        <w:outlineLvl w:val="0"/>
        <w:rPr>
          <w:rFonts w:hint="eastAsia" w:ascii="黑体" w:hAnsi="宋体" w:eastAsia="黑体"/>
          <w:color w:val="000000"/>
          <w:sz w:val="28"/>
          <w:szCs w:val="28"/>
          <w:highlight w:val="none"/>
        </w:rPr>
      </w:pPr>
    </w:p>
    <w:p w14:paraId="58116DDC">
      <w:pPr>
        <w:spacing w:before="312" w:beforeLines="100" w:line="440" w:lineRule="exact"/>
        <w:jc w:val="center"/>
        <w:outlineLvl w:val="0"/>
        <w:rPr>
          <w:rFonts w:hint="eastAsia" w:ascii="黑体" w:hAnsi="宋体" w:eastAsia="黑体"/>
          <w:color w:val="000000"/>
          <w:sz w:val="28"/>
          <w:szCs w:val="28"/>
          <w:highlight w:val="none"/>
        </w:rPr>
      </w:pPr>
      <w:bookmarkStart w:id="944" w:name="_Toc155799791"/>
      <w:bookmarkStart w:id="945" w:name="_Toc149833970"/>
      <w:r>
        <w:rPr>
          <w:rFonts w:hint="eastAsia" w:ascii="黑体" w:hAnsi="宋体" w:eastAsia="黑体"/>
          <w:color w:val="000000"/>
          <w:sz w:val="28"/>
          <w:szCs w:val="28"/>
          <w:highlight w:val="none"/>
        </w:rPr>
        <w:t>九、其他材料</w:t>
      </w:r>
      <w:bookmarkEnd w:id="944"/>
      <w:bookmarkEnd w:id="945"/>
    </w:p>
    <w:p w14:paraId="1B1A8874">
      <w:pPr>
        <w:spacing w:line="500" w:lineRule="exact"/>
        <w:jc w:val="left"/>
        <w:rPr>
          <w:rFonts w:hint="eastAsia" w:ascii="宋体" w:hAnsi="宋体"/>
          <w:color w:val="000000"/>
          <w:szCs w:val="21"/>
          <w:highlight w:val="none"/>
        </w:rPr>
      </w:pPr>
    </w:p>
    <w:p w14:paraId="67373F3D">
      <w:pPr>
        <w:spacing w:line="480" w:lineRule="auto"/>
        <w:jc w:val="center"/>
        <w:rPr>
          <w:rFonts w:hint="eastAsia" w:ascii="黑体" w:eastAsia="黑体"/>
          <w:color w:val="000000"/>
          <w:sz w:val="24"/>
          <w:highlight w:val="none"/>
        </w:rPr>
      </w:pPr>
      <w:r>
        <w:rPr>
          <w:rFonts w:hint="eastAsia" w:ascii="黑体" w:eastAsia="黑体"/>
          <w:color w:val="000000"/>
          <w:sz w:val="24"/>
          <w:highlight w:val="none"/>
        </w:rPr>
        <w:t>1、全省房屋建筑和市政基础设施工程项目</w:t>
      </w:r>
    </w:p>
    <w:p w14:paraId="3C94F037">
      <w:pPr>
        <w:spacing w:line="480" w:lineRule="auto"/>
        <w:jc w:val="center"/>
        <w:rPr>
          <w:rFonts w:hint="eastAsia" w:ascii="黑体" w:eastAsia="黑体"/>
          <w:color w:val="000000"/>
          <w:sz w:val="24"/>
          <w:highlight w:val="none"/>
        </w:rPr>
      </w:pPr>
      <w:r>
        <w:rPr>
          <w:rFonts w:hint="eastAsia" w:ascii="黑体" w:eastAsia="黑体"/>
          <w:color w:val="000000"/>
          <w:sz w:val="24"/>
          <w:highlight w:val="none"/>
        </w:rPr>
        <w:t>招标投标活动承诺书</w:t>
      </w:r>
    </w:p>
    <w:p w14:paraId="2ADEC322">
      <w:pPr>
        <w:spacing w:line="480" w:lineRule="auto"/>
        <w:rPr>
          <w:rFonts w:hint="eastAsia" w:ascii="黑体" w:eastAsia="黑体"/>
          <w:color w:val="000000"/>
          <w:sz w:val="24"/>
          <w:highlight w:val="none"/>
        </w:rPr>
      </w:pPr>
      <w:r>
        <w:rPr>
          <w:rFonts w:ascii="黑体" w:eastAsia="黑体"/>
          <w:color w:val="000000"/>
          <w:sz w:val="24"/>
          <w:highlight w:val="none"/>
        </w:rPr>
        <w:t> </w:t>
      </w:r>
    </w:p>
    <w:p w14:paraId="18FC4260">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我单位承诺，在</w:t>
      </w:r>
      <w:r>
        <w:rPr>
          <w:rFonts w:hint="eastAsia" w:ascii="宋体" w:hAnsi="宋体"/>
          <w:color w:val="000000"/>
          <w:szCs w:val="21"/>
          <w:highlight w:val="none"/>
          <w:u w:val="single"/>
        </w:rPr>
        <w:t xml:space="preserve">         项目名称       </w:t>
      </w:r>
      <w:r>
        <w:rPr>
          <w:rFonts w:hint="eastAsia" w:ascii="宋体" w:hAnsi="宋体"/>
          <w:color w:val="000000"/>
          <w:szCs w:val="21"/>
          <w:highlight w:val="none"/>
        </w:rPr>
        <w:t>招投标活动中，自觉遵守《中华人民共和国招标投标法》、《中华人民共和国招标投标法实施条例》、河南省实施《中华人民共和国招标投标法》办法等招标投标相关法律、法规和制度规定，如有违反，愿承担相关法律责任。</w:t>
      </w:r>
    </w:p>
    <w:p w14:paraId="45E4C132">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49E94DD8">
      <w:pPr>
        <w:spacing w:after="120"/>
        <w:ind w:firstLine="210" w:firstLineChars="100"/>
        <w:rPr>
          <w:rFonts w:hint="eastAsia"/>
          <w:color w:val="000000"/>
          <w:highlight w:val="none"/>
        </w:rPr>
      </w:pPr>
    </w:p>
    <w:p w14:paraId="2E46356D">
      <w:pPr>
        <w:spacing w:after="120"/>
        <w:ind w:firstLine="210" w:firstLineChars="100"/>
        <w:rPr>
          <w:color w:val="000000"/>
          <w:highlight w:val="none"/>
        </w:rPr>
      </w:pPr>
    </w:p>
    <w:p w14:paraId="1086A6D8">
      <w:pPr>
        <w:spacing w:line="42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承诺人（法定代表人）（电子签章）：              </w:t>
      </w:r>
    </w:p>
    <w:p w14:paraId="6A2D1A39">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联系电话：                  </w:t>
      </w:r>
    </w:p>
    <w:p w14:paraId="6424F533">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14220846">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                         </w:t>
      </w:r>
    </w:p>
    <w:p w14:paraId="561AC434">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79E3D0BC">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615AAF6B">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744EDD68">
      <w:pPr>
        <w:spacing w:line="420" w:lineRule="exact"/>
        <w:ind w:right="420" w:firstLine="5250" w:firstLineChars="2500"/>
        <w:rPr>
          <w:rFonts w:hint="eastAsia" w:ascii="宋体" w:hAnsi="宋体"/>
          <w:color w:val="000000"/>
          <w:szCs w:val="21"/>
          <w:highlight w:val="none"/>
        </w:rPr>
      </w:pPr>
      <w:r>
        <w:rPr>
          <w:rFonts w:hint="eastAsia" w:ascii="宋体" w:hAnsi="宋体"/>
          <w:color w:val="000000"/>
          <w:szCs w:val="21"/>
          <w:highlight w:val="none"/>
        </w:rPr>
        <w:t>承诺人（电子签章）</w:t>
      </w:r>
    </w:p>
    <w:p w14:paraId="6A3375FE">
      <w:pPr>
        <w:spacing w:line="4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04EBA79B">
      <w:pPr>
        <w:wordWrap w:val="0"/>
        <w:spacing w:line="420" w:lineRule="exact"/>
        <w:ind w:firstLine="420" w:firstLineChars="200"/>
        <w:jc w:val="right"/>
        <w:rPr>
          <w:rFonts w:hint="eastAsia" w:ascii="宋体" w:hAnsi="宋体"/>
          <w:color w:val="000000"/>
          <w:szCs w:val="21"/>
          <w:highlight w:val="none"/>
        </w:rPr>
      </w:pPr>
      <w:r>
        <w:rPr>
          <w:rFonts w:hint="eastAsia" w:ascii="宋体" w:hAnsi="宋体"/>
          <w:color w:val="000000"/>
          <w:szCs w:val="21"/>
          <w:highlight w:val="none"/>
        </w:rPr>
        <w:t xml:space="preserve">  年   月   日      </w:t>
      </w:r>
    </w:p>
    <w:p w14:paraId="40FCFEF1">
      <w:pPr>
        <w:rPr>
          <w:rFonts w:hint="eastAsia"/>
          <w:color w:val="000000"/>
          <w:highlight w:val="none"/>
        </w:rPr>
      </w:pPr>
    </w:p>
    <w:p w14:paraId="41495E96">
      <w:pPr>
        <w:spacing w:before="312" w:beforeLines="100" w:line="510" w:lineRule="exact"/>
        <w:jc w:val="center"/>
        <w:rPr>
          <w:color w:val="000000"/>
          <w:highlight w:val="none"/>
        </w:rPr>
      </w:pPr>
    </w:p>
    <w:p w14:paraId="52B6EC55">
      <w:pPr>
        <w:spacing w:before="312" w:beforeLines="100" w:line="510" w:lineRule="exact"/>
        <w:rPr>
          <w:color w:val="000000"/>
          <w:highlight w:val="none"/>
        </w:rPr>
      </w:pPr>
    </w:p>
    <w:p w14:paraId="2BF2E4D8">
      <w:pPr>
        <w:spacing w:before="312" w:beforeLines="100" w:line="510" w:lineRule="exact"/>
        <w:jc w:val="center"/>
        <w:rPr>
          <w:color w:val="000000"/>
          <w:highlight w:val="none"/>
        </w:rPr>
      </w:pPr>
    </w:p>
    <w:p w14:paraId="504C76AE">
      <w:pPr>
        <w:spacing w:after="120"/>
        <w:ind w:firstLine="210" w:firstLineChars="100"/>
        <w:rPr>
          <w:color w:val="000000"/>
          <w:highlight w:val="none"/>
        </w:rPr>
      </w:pPr>
    </w:p>
    <w:p w14:paraId="56230F6D">
      <w:pPr>
        <w:spacing w:after="120"/>
        <w:ind w:firstLine="210" w:firstLineChars="100"/>
        <w:rPr>
          <w:color w:val="000000"/>
          <w:highlight w:val="none"/>
        </w:rPr>
      </w:pPr>
    </w:p>
    <w:p w14:paraId="0A6ABF52">
      <w:pPr>
        <w:spacing w:after="120"/>
        <w:ind w:firstLine="210" w:firstLineChars="100"/>
        <w:rPr>
          <w:color w:val="000000"/>
          <w:highlight w:val="none"/>
        </w:rPr>
      </w:pPr>
    </w:p>
    <w:p w14:paraId="688CD504">
      <w:pPr>
        <w:spacing w:after="120"/>
        <w:ind w:firstLine="210" w:firstLineChars="100"/>
        <w:rPr>
          <w:color w:val="000000"/>
          <w:highlight w:val="none"/>
        </w:rPr>
      </w:pPr>
    </w:p>
    <w:p w14:paraId="33F3749B">
      <w:pPr>
        <w:spacing w:after="120"/>
        <w:ind w:firstLine="210" w:firstLineChars="100"/>
        <w:rPr>
          <w:color w:val="000000"/>
          <w:highlight w:val="none"/>
        </w:rPr>
      </w:pPr>
    </w:p>
    <w:p w14:paraId="5C44AEA0">
      <w:pPr>
        <w:ind w:left="210" w:leftChars="100"/>
        <w:jc w:val="center"/>
        <w:rPr>
          <w:color w:val="000000"/>
          <w:sz w:val="24"/>
          <w:highlight w:val="none"/>
        </w:rPr>
      </w:pPr>
      <w:r>
        <w:rPr>
          <w:color w:val="000000"/>
          <w:sz w:val="24"/>
          <w:highlight w:val="none"/>
        </w:rPr>
        <w:t>2</w:t>
      </w:r>
      <w:r>
        <w:rPr>
          <w:rFonts w:hint="eastAsia"/>
          <w:color w:val="000000"/>
          <w:sz w:val="24"/>
          <w:highlight w:val="none"/>
        </w:rPr>
        <w:t>、投标人认为需要补充的其他材料及评分办法中涉及的材料</w:t>
      </w:r>
    </w:p>
    <w:p w14:paraId="18C7395E">
      <w:pPr>
        <w:spacing w:line="400" w:lineRule="exact"/>
        <w:ind w:left="210" w:leftChars="100"/>
        <w:rPr>
          <w:color w:val="000000"/>
          <w:highlight w:val="none"/>
        </w:rPr>
      </w:pPr>
    </w:p>
    <w:p w14:paraId="61A21BB9">
      <w:pPr>
        <w:rPr>
          <w:color w:val="000000"/>
          <w:highlight w:val="none"/>
        </w:rPr>
      </w:pPr>
    </w:p>
    <w:p w14:paraId="18C97364">
      <w:pPr>
        <w:rPr>
          <w:color w:val="000000"/>
          <w:highlight w:val="none"/>
        </w:rPr>
      </w:pPr>
    </w:p>
    <w:p w14:paraId="168FC87F">
      <w:pPr>
        <w:spacing w:before="312" w:beforeLines="100" w:line="510" w:lineRule="exact"/>
        <w:jc w:val="center"/>
        <w:rPr>
          <w:color w:val="000000"/>
          <w:sz w:val="24"/>
          <w:highlight w:val="none"/>
        </w:rPr>
      </w:pPr>
      <w:r>
        <w:rPr>
          <w:color w:val="000000"/>
          <w:sz w:val="24"/>
          <w:highlight w:val="none"/>
        </w:rPr>
        <w:t>3</w:t>
      </w:r>
      <w:r>
        <w:rPr>
          <w:rFonts w:hint="eastAsia"/>
          <w:color w:val="000000"/>
          <w:sz w:val="24"/>
          <w:highlight w:val="none"/>
        </w:rPr>
        <w:t>、投标保证金</w:t>
      </w:r>
    </w:p>
    <w:p w14:paraId="29DF19B1">
      <w:pPr>
        <w:spacing w:before="312" w:beforeLines="100" w:line="510" w:lineRule="exact"/>
        <w:jc w:val="center"/>
        <w:rPr>
          <w:color w:val="000000"/>
          <w:highlight w:val="none"/>
        </w:rPr>
      </w:pPr>
      <w:r>
        <w:rPr>
          <w:rFonts w:hint="eastAsia"/>
          <w:color w:val="000000"/>
          <w:highlight w:val="none"/>
        </w:rPr>
        <w:t>（附投标保证金缴款凭证或相应证明文件）</w:t>
      </w:r>
    </w:p>
    <w:p w14:paraId="3AC744E4">
      <w:pPr>
        <w:rPr>
          <w:color w:val="000000"/>
          <w:highlight w:val="none"/>
        </w:rPr>
      </w:pPr>
    </w:p>
    <w:p w14:paraId="79E5A3BC">
      <w:pPr>
        <w:rPr>
          <w:color w:val="000000"/>
          <w:highlight w:val="none"/>
        </w:rPr>
      </w:pPr>
    </w:p>
    <w:p w14:paraId="2A6B5F0D">
      <w:pPr>
        <w:rPr>
          <w:color w:val="000000"/>
          <w:highlight w:val="none"/>
        </w:rPr>
      </w:pPr>
    </w:p>
    <w:p w14:paraId="73C2D56A">
      <w:pPr>
        <w:rPr>
          <w:color w:val="000000"/>
          <w:highlight w:val="none"/>
        </w:rPr>
      </w:pPr>
    </w:p>
    <w:p w14:paraId="59285991">
      <w:pPr>
        <w:rPr>
          <w:color w:val="000000"/>
          <w:highlight w:val="none"/>
        </w:rPr>
      </w:pPr>
    </w:p>
    <w:p w14:paraId="2BE9C9BE">
      <w:pPr>
        <w:rPr>
          <w:color w:val="000000"/>
          <w:highlight w:val="none"/>
        </w:rPr>
      </w:pPr>
    </w:p>
    <w:p w14:paraId="0E1546BE">
      <w:pPr>
        <w:rPr>
          <w:color w:val="000000"/>
          <w:highlight w:val="none"/>
        </w:rPr>
      </w:pPr>
    </w:p>
    <w:p w14:paraId="5230A632">
      <w:pPr>
        <w:rPr>
          <w:color w:val="000000"/>
          <w:highlight w:val="none"/>
        </w:rPr>
      </w:pPr>
    </w:p>
    <w:p w14:paraId="4B394257">
      <w:pPr>
        <w:rPr>
          <w:color w:val="000000"/>
          <w:highlight w:val="none"/>
        </w:rPr>
      </w:pPr>
    </w:p>
    <w:p w14:paraId="2F19C60B">
      <w:pPr>
        <w:rPr>
          <w:color w:val="000000"/>
          <w:highlight w:val="none"/>
        </w:rPr>
      </w:pPr>
    </w:p>
    <w:p w14:paraId="067DB5B2">
      <w:pPr>
        <w:ind w:left="210" w:leftChars="100"/>
        <w:jc w:val="center"/>
        <w:rPr>
          <w:color w:val="000000"/>
          <w:sz w:val="24"/>
          <w:highlight w:val="none"/>
        </w:rPr>
      </w:pPr>
      <w:r>
        <w:rPr>
          <w:rFonts w:hint="eastAsia"/>
          <w:color w:val="000000"/>
          <w:highlight w:val="none"/>
        </w:rPr>
        <w:t>4、</w:t>
      </w:r>
      <w:r>
        <w:rPr>
          <w:rFonts w:hint="eastAsia"/>
          <w:color w:val="000000"/>
          <w:sz w:val="24"/>
          <w:highlight w:val="none"/>
        </w:rPr>
        <w:t>投标人基本信息</w:t>
      </w:r>
    </w:p>
    <w:p w14:paraId="4E00E19E">
      <w:pPr>
        <w:spacing w:line="312" w:lineRule="auto"/>
        <w:ind w:firstLine="210"/>
        <w:rPr>
          <w:color w:val="000000"/>
          <w:highlight w:val="none"/>
        </w:rPr>
      </w:pPr>
    </w:p>
    <w:p w14:paraId="02A35648">
      <w:pPr>
        <w:spacing w:line="312" w:lineRule="auto"/>
        <w:ind w:firstLine="210"/>
        <w:rPr>
          <w:color w:val="000000"/>
          <w:highlight w:val="none"/>
        </w:rPr>
      </w:pPr>
      <w:r>
        <w:rPr>
          <w:rFonts w:hint="eastAsia"/>
          <w:color w:val="000000"/>
          <w:highlight w:val="none"/>
        </w:rPr>
        <w:t>投标人名称：</w:t>
      </w:r>
    </w:p>
    <w:p w14:paraId="28CFBCD2">
      <w:pPr>
        <w:spacing w:line="312" w:lineRule="auto"/>
        <w:ind w:firstLine="210"/>
        <w:rPr>
          <w:color w:val="000000"/>
          <w:highlight w:val="none"/>
        </w:rPr>
      </w:pPr>
      <w:r>
        <w:rPr>
          <w:rFonts w:hint="eastAsia"/>
          <w:color w:val="000000"/>
          <w:highlight w:val="none"/>
        </w:rPr>
        <w:t>公司地址：</w:t>
      </w:r>
    </w:p>
    <w:p w14:paraId="62A58D0B">
      <w:pPr>
        <w:spacing w:line="312" w:lineRule="auto"/>
        <w:ind w:firstLine="210"/>
        <w:rPr>
          <w:color w:val="000000"/>
          <w:highlight w:val="none"/>
        </w:rPr>
      </w:pPr>
      <w:r>
        <w:rPr>
          <w:rFonts w:hint="eastAsia"/>
          <w:color w:val="000000"/>
          <w:highlight w:val="none"/>
        </w:rPr>
        <w:t>投报报价：</w:t>
      </w:r>
    </w:p>
    <w:p w14:paraId="07FB9055">
      <w:pPr>
        <w:spacing w:line="312" w:lineRule="auto"/>
        <w:ind w:firstLine="210"/>
        <w:rPr>
          <w:color w:val="000000"/>
          <w:highlight w:val="none"/>
        </w:rPr>
      </w:pPr>
      <w:r>
        <w:rPr>
          <w:rFonts w:hint="eastAsia"/>
          <w:color w:val="000000"/>
          <w:highlight w:val="none"/>
        </w:rPr>
        <w:t>项目负责人及证书编号：</w:t>
      </w:r>
    </w:p>
    <w:p w14:paraId="2803B422">
      <w:pPr>
        <w:spacing w:line="312" w:lineRule="auto"/>
        <w:ind w:firstLine="210"/>
        <w:rPr>
          <w:color w:val="000000"/>
          <w:highlight w:val="none"/>
        </w:rPr>
      </w:pPr>
      <w:r>
        <w:rPr>
          <w:rFonts w:hint="eastAsia"/>
          <w:color w:val="000000"/>
          <w:highlight w:val="none"/>
        </w:rPr>
        <w:t>项目组成人员：</w:t>
      </w:r>
    </w:p>
    <w:p w14:paraId="0B7ADA85">
      <w:pPr>
        <w:spacing w:line="312" w:lineRule="auto"/>
        <w:ind w:firstLine="210"/>
        <w:rPr>
          <w:color w:val="000000"/>
          <w:highlight w:val="none"/>
        </w:rPr>
      </w:pPr>
      <w:r>
        <w:rPr>
          <w:rFonts w:hint="eastAsia"/>
          <w:color w:val="000000"/>
          <w:highlight w:val="none"/>
        </w:rPr>
        <w:t>联系人：</w:t>
      </w:r>
    </w:p>
    <w:p w14:paraId="3D6E3D4F">
      <w:pPr>
        <w:spacing w:line="312" w:lineRule="auto"/>
        <w:ind w:firstLine="210"/>
        <w:rPr>
          <w:color w:val="000000"/>
          <w:highlight w:val="none"/>
        </w:rPr>
      </w:pPr>
      <w:r>
        <w:rPr>
          <w:rFonts w:hint="eastAsia"/>
          <w:color w:val="000000"/>
          <w:highlight w:val="none"/>
        </w:rPr>
        <w:t>手机：</w:t>
      </w:r>
    </w:p>
    <w:p w14:paraId="0811FDC5">
      <w:pPr>
        <w:spacing w:line="312" w:lineRule="auto"/>
        <w:ind w:firstLine="210"/>
        <w:rPr>
          <w:color w:val="000000"/>
          <w:highlight w:val="none"/>
        </w:rPr>
      </w:pPr>
      <w:r>
        <w:rPr>
          <w:rFonts w:hint="eastAsia"/>
          <w:color w:val="000000"/>
          <w:highlight w:val="none"/>
        </w:rPr>
        <w:t>邮箱：</w:t>
      </w:r>
    </w:p>
    <w:p w14:paraId="64D176BA">
      <w:pPr>
        <w:spacing w:line="312" w:lineRule="auto"/>
        <w:ind w:firstLine="210"/>
        <w:rPr>
          <w:color w:val="000000"/>
          <w:highlight w:val="none"/>
        </w:rPr>
      </w:pPr>
    </w:p>
    <w:p w14:paraId="20F02036">
      <w:pPr>
        <w:spacing w:line="312" w:lineRule="auto"/>
        <w:ind w:firstLine="210"/>
        <w:rPr>
          <w:color w:val="000000"/>
          <w:highlight w:val="none"/>
        </w:rPr>
      </w:pPr>
      <w:r>
        <w:rPr>
          <w:rFonts w:hint="eastAsia"/>
          <w:color w:val="000000"/>
          <w:highlight w:val="none"/>
        </w:rPr>
        <w:t>注：投标人基本信息不作为评审依据，仅供代理机构发布评标结果公示参考使用。</w:t>
      </w:r>
    </w:p>
    <w:p w14:paraId="478C9682">
      <w:pPr>
        <w:spacing w:after="120"/>
        <w:ind w:firstLine="210" w:firstLineChars="100"/>
        <w:rPr>
          <w:color w:val="000000"/>
          <w:highlight w:val="none"/>
        </w:rPr>
      </w:pPr>
    </w:p>
    <w:p w14:paraId="7CCC34D5">
      <w:pPr>
        <w:spacing w:before="312" w:beforeLines="100" w:line="510" w:lineRule="exact"/>
        <w:jc w:val="center"/>
        <w:rPr>
          <w:color w:val="000000"/>
          <w:highlight w:val="none"/>
        </w:rPr>
      </w:pPr>
    </w:p>
    <w:p w14:paraId="033DBD55">
      <w:pPr>
        <w:rPr>
          <w:color w:val="000000"/>
          <w:highlight w:val="none"/>
        </w:rPr>
      </w:pPr>
    </w:p>
    <w:p w14:paraId="0875F5A1">
      <w:pPr>
        <w:rPr>
          <w:color w:val="000000"/>
          <w:highlight w:val="none"/>
        </w:rPr>
      </w:pPr>
    </w:p>
    <w:p w14:paraId="4A646252"/>
    <w:p w14:paraId="42BA4B8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5870">
    <w:pPr>
      <w:autoSpaceDE w:val="0"/>
      <w:autoSpaceDN w:val="0"/>
      <w:spacing w:line="14" w:lineRule="auto"/>
      <w:jc w:val="left"/>
      <w:rPr>
        <w:rFonts w:ascii="仿宋" w:hAnsi="仿宋" w:eastAsia="仿宋" w:cs="仿宋"/>
        <w:sz w:val="20"/>
        <w:szCs w:val="28"/>
        <w:lang w:val="zh-CN" w:bidi="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666B8DEB">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ZbwTUAAAAAgEAAA8AAAAAAAAAAQAgAAAAIgAAAGRycy9kb3ducmV2Lnht&#10;bFBLAQIUABQAAAAIAIdO4kDSs+cPNgIAAGAEAAAOAAAAAAAAAAEAIAAAACMBAABkcnMvZTJvRG9j&#10;LnhtbFBLBQYAAAAABgAGAFkBAADLBQAAAAA=&#10;">
              <v:path/>
              <v:fill on="f" focussize="0,0"/>
              <v:stroke on="f" weight="0.5pt"/>
              <v:imagedata o:title=""/>
              <o:lock v:ext="edit" grouping="f" rotation="f" text="f" aspectratio="f"/>
              <v:textbox inset="0mm,0mm,0mm,0mm" style="mso-fit-shape-to-text:t;">
                <w:txbxContent>
                  <w:p w14:paraId="666B8DEB">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01CD1"/>
    <w:multiLevelType w:val="multilevel"/>
    <w:tmpl w:val="2D901CD1"/>
    <w:lvl w:ilvl="0" w:tentative="0">
      <w:start w:val="1"/>
      <w:numFmt w:val="japaneseCounting"/>
      <w:lvlText w:val="%1、"/>
      <w:lvlJc w:val="left"/>
      <w:pPr>
        <w:ind w:left="450" w:hanging="4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Dc4M2IxNDQyN2EwZTFkOGM4ODE2MzU4ZTNhNmMifQ=="/>
  </w:docVars>
  <w:rsids>
    <w:rsidRoot w:val="00000000"/>
    <w:rsid w:val="376F155C"/>
    <w:rsid w:val="38547ABE"/>
    <w:rsid w:val="3DA71EC3"/>
    <w:rsid w:val="712627BF"/>
    <w:rsid w:val="72B3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Calibri" w:hAnsi="Calibri"/>
    </w:rPr>
  </w:style>
  <w:style w:type="paragraph" w:styleId="3">
    <w:name w:val="Body Text"/>
    <w:basedOn w:val="1"/>
    <w:unhideWhenUsed/>
    <w:qFormat/>
    <w:uiPriority w:val="0"/>
    <w:pPr>
      <w:spacing w:after="120"/>
    </w:pPr>
    <w:rPr>
      <w:kern w:val="0"/>
      <w:sz w:val="20"/>
    </w:r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unhideWhenUsed/>
    <w:qFormat/>
    <w:uiPriority w:val="39"/>
  </w:style>
  <w:style w:type="paragraph" w:styleId="6">
    <w:name w:val="Normal (Web)"/>
    <w:basedOn w:val="1"/>
    <w:unhideWhenUsed/>
    <w:qFormat/>
    <w:uiPriority w:val="99"/>
    <w:pPr>
      <w:widowControl/>
      <w:spacing w:before="100" w:beforeAutospacing="1" w:after="100" w:afterAutospacing="1"/>
      <w:jc w:val="left"/>
    </w:pPr>
    <w:rPr>
      <w:kern w:val="0"/>
      <w:sz w:val="24"/>
    </w:rPr>
  </w:style>
  <w:style w:type="paragraph" w:styleId="7">
    <w:name w:val="Body Text First Indent"/>
    <w:basedOn w:val="3"/>
    <w:unhideWhenUsed/>
    <w:qFormat/>
    <w:uiPriority w:val="0"/>
    <w:pPr>
      <w:ind w:firstLine="420" w:firstLineChars="100"/>
    </w:pPr>
    <w:rPr>
      <w:rFonts w:ascii="Calibri" w:hAnsi="Calibri"/>
      <w:szCs w:val="20"/>
      <w:lang w:val="en-US" w:eastAsia="zh-CN"/>
    </w:rPr>
  </w:style>
  <w:style w:type="character" w:styleId="10">
    <w:name w:val="Strong"/>
    <w:basedOn w:val="9"/>
    <w:qFormat/>
    <w:uiPriority w:val="0"/>
    <w:rPr>
      <w:b/>
    </w:rPr>
  </w:style>
  <w:style w:type="character" w:styleId="11">
    <w:name w:val="Hyperlink"/>
    <w:basedOn w:val="9"/>
    <w:unhideWhenUsed/>
    <w:qFormat/>
    <w:uiPriority w:val="99"/>
    <w:rPr>
      <w:color w:val="0000FF"/>
      <w:u w:val="none"/>
    </w:rPr>
  </w:style>
  <w:style w:type="paragraph" w:customStyle="1" w:styleId="12">
    <w:name w:val="BodyTextIndent2"/>
    <w:basedOn w:val="1"/>
    <w:qFormat/>
    <w:uiPriority w:val="0"/>
    <w:pPr>
      <w:spacing w:after="120" w:line="480" w:lineRule="auto"/>
      <w:ind w:left="420" w:leftChars="200"/>
    </w:pPr>
    <w:rPr>
      <w:rFonts w:cs="宋体"/>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2.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0</Words>
  <Characters>0</Characters>
  <Lines>0</Lines>
  <Paragraphs>0</Paragraphs>
  <TotalTime>15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2024-11-06T03:04:32Z</dcterms:created>
  <dc:creator>Administrator</dc:creator>
  <cp:lastModifiedBy>小北</cp:lastModifiedBy>
  <dcterms:modified xsi:type="dcterms:W3CDTF">2024-11-06T06:38:13Z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9502F63D7E164FCB9C8963550FA6B672_12</vt:lpwstr>
  </property>
</Properties>
</file>