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rPr>
          <w:rFonts w:hint="eastAsia" w:ascii="方正仿宋_GBK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附件5</w:t>
      </w:r>
      <w:r>
        <w:rPr>
          <w:rFonts w:hint="eastAsia" w:ascii="方正仿宋_GBK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spacing w:line="580" w:lineRule="exact"/>
        <w:ind w:left="321" w:hanging="321" w:hangingChars="100"/>
        <w:jc w:val="center"/>
        <w:rPr>
          <w:rFonts w:hint="eastAsia" w:ascii="方正仿宋_GBK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  <w:t>2024年度造价咨询企业、造价师、建筑工程发承包计价活动“双随机、一公开”抽查工作评分表</w:t>
      </w:r>
    </w:p>
    <w:tbl>
      <w:tblPr>
        <w:tblStyle w:val="3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792"/>
        <w:gridCol w:w="5895"/>
        <w:gridCol w:w="67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抽查项目名称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  <w:t>项目概况（咨询类型、项目类型、项目造价）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  <w:t>签章造价师（证书编号、联系电话）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  <w:t>签章造价师（证书编号、联系电话）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ˎ̥" w:hAnsi="ˎ̥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ˎ̥" w:hAnsi="ˎ̥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tabs>
                <w:tab w:val="center" w:pos="221"/>
              </w:tabs>
              <w:ind w:left="0" w:leftChars="0" w:firstLine="0" w:firstLineChars="0"/>
              <w:jc w:val="both"/>
              <w:rPr>
                <w:rFonts w:hint="default" w:ascii="ˎ̥" w:hAnsi="ˎ̥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1"/>
                <w:szCs w:val="21"/>
                <w:vertAlign w:val="baseline"/>
                <w:lang w:val="en-US" w:eastAsia="zh-CN"/>
              </w:rPr>
              <w:t>扣分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ˎ̥" w:hAnsi="ˎ̥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工程造价咨询合同签订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ˎ̥" w:hAnsi="ˎ̥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造价咨询合同签订内容完整、格式规范，符合行业规定的得10分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1、没有签订咨询合同的扣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2、没有采用示范文本的扣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分(综合性项目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特殊项目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或确因委托方要求</w:t>
            </w:r>
            <w:r>
              <w:rPr>
                <w:rFonts w:ascii="宋体" w:hAnsi="宋体" w:eastAsia="宋体" w:cs="宋体"/>
                <w:sz w:val="24"/>
                <w:szCs w:val="24"/>
              </w:rPr>
              <w:t>除外)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3、咨询合同内容不完整、签章手续不全的扣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4、咨询收费过低，可能低于成本的扣3-5分。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咨询工作操作程序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工程造价咨询工作操作程序规范，签字签章齐全有效的得20分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未编制工作方案的扣5分；工作方案内容不完整，无项目概况、人员分工、进度安排等实质性内容的扣3分；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无项目审（校）核记录的扣6分；</w:t>
            </w:r>
            <w:r>
              <w:rPr>
                <w:rFonts w:ascii="宋体" w:hAnsi="宋体" w:eastAsia="宋体" w:cs="宋体"/>
                <w:sz w:val="24"/>
                <w:szCs w:val="24"/>
              </w:rPr>
              <w:t>未履行自检、复核及审核等质量控制流程的扣6分;缺1个流程扣2分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4、咨询成果文件未加盖企业执业印章的扣5分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成果文件编制人、审核人、审定人未按规定签字及盖章的每一处扣2分（其中工程造价鉴定成果鉴证人、审核人未按规定签字及盖章的每一处扣3分）；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总公司对分公司的造价咨询成果质量未实施有效管理的扣0-3分。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咨询业务质量（40分）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工程造价成果文件编制依据、格式、内容、深度符合规定，质量良好的得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1、企业未建立造价咨询质量管理体系的扣5分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2、咨询成果文件未按格式规定要求的扣5分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3、咨询成果文件中，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工程量清单编制出现</w:t>
            </w:r>
            <w:r>
              <w:rPr>
                <w:rFonts w:ascii="宋体" w:hAnsi="宋体" w:eastAsia="宋体" w:cs="宋体"/>
                <w:sz w:val="24"/>
                <w:szCs w:val="24"/>
              </w:rPr>
              <w:t>工程量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或计量单位有误、单价不合理、项目漏项，措施项目清单、其他项目清单、规范和税金项目清单等不符合计价规范和我省计价依据要求的，每发现一处扣2分；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定额套用错项、漏项、取费标准(含税金规费)不准确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</w:t>
            </w:r>
            <w:r>
              <w:rPr>
                <w:rFonts w:ascii="宋体" w:hAnsi="宋体" w:eastAsia="宋体" w:cs="宋体"/>
                <w:sz w:val="24"/>
                <w:szCs w:val="24"/>
              </w:rPr>
              <w:t>，每发现一处扣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4、擅自改变或未按合同约定计价依据，或采用的计价依据不完整、不准确，每发现一处扣10分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5、变更签证手续不全或依据不充分的，价款调整没有依据的，每发现一处扣10分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6、咨询成果文件编制说明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、项目特征描述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不准确、表述不清楚的每发现一处扣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7、咨询成果文件存在重大质量缺陷，误差率超过标准或合同约定的扣15分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8、因咨询成果文件质量被被举报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，经查证属实的，或咨询质量被记黑名单的扣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注册造价工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程师执业行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为及其他专业人员行为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技术负责人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不在岗的扣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4分，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每发现一名一级造价工程师不在岗的扣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，其他专职专业人员每发现一名不在岗的扣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2、一级造价工程师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及其他专业人员执业单位和社保缴纳单位不一致的，每发现一人扣5分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3、未参加项目咨询工作而加盖执业印章的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或超出执业范围、注册专业范围执业的</w:t>
            </w:r>
            <w:r>
              <w:rPr>
                <w:rFonts w:ascii="宋体" w:hAnsi="宋体" w:eastAsia="宋体" w:cs="宋体"/>
                <w:sz w:val="24"/>
                <w:szCs w:val="24"/>
              </w:rPr>
              <w:t>扣10分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4、执业不规范，出具虚假造价成果文件的扣15分。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咨询立卷管理（8分）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档案管理制度健全，咨询成果文件及过程文件的收集整理、留存、归档符合行业规定的得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1、未建立档案管理制度扣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2、咨询成果文件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归档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不完整的每缺一处扣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ˎ̥" w:hAnsi="ˎ̥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3、过程文件的收集不完整，归档不符合行业规定的每发现一处扣2分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ˎ̥" w:hAnsi="ˎ̥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统计报表报送情况或项目登记情况（5分）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本市企业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按规定上报造价咨询统计调查表的得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5分，发现未报报表的扣5分。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外进企业及时进行项目登记的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5分，未登记的扣5分。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回访或业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主评价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回访总结并有整改措施的或业主评价良好的得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1、没有回访记录或没有业主评价意见的扣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2、没有总结提高咨询质量改进方法的扣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评定等级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优秀：90分以上；良好：80-90分；合格：60-80分；不合格60分以下。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注：以上评分，抽检项目多个的，以得分低的为最终得分。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9919" w:type="dxa"/>
            <w:gridSpan w:val="5"/>
            <w:noWrap w:val="0"/>
            <w:vAlign w:val="center"/>
          </w:tcPr>
          <w:p>
            <w:pPr>
              <w:widowControl/>
              <w:jc w:val="both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 xml:space="preserve">专家签字：                      </w:t>
            </w:r>
          </w:p>
          <w:p>
            <w:pPr>
              <w:widowControl/>
              <w:jc w:val="both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jc w:val="both"/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widowControl/>
              <w:jc w:val="both"/>
              <w:rPr>
                <w:rFonts w:hint="default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日期：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GYwZDYxYTEwNmEzYjc4ODc1YWViZmFmMjA5MzIifQ=="/>
  </w:docVars>
  <w:rsids>
    <w:rsidRoot w:val="262A7060"/>
    <w:rsid w:val="262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2024-09-24T03:38:00Z</dcterms:created>
  <dc:creator>Administrator</dc:creator>
  <cp:lastModifiedBy>Administrator</cp:lastModifiedBy>
  <dcterms:modified xsi:type="dcterms:W3CDTF">2024-09-24T03:38:38Z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67117171B13D4EB9A39801B2DE7697C8_11</vt:lpwstr>
  </property>
</Properties>
</file>